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112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Pr="004A697C">
        <w:rPr>
          <w:rFonts w:ascii="Times New Roman" w:eastAsia="標楷體" w:hint="eastAsia"/>
          <w:b/>
          <w:sz w:val="28"/>
          <w:szCs w:val="28"/>
        </w:rPr>
        <w:t>一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Pr="004A697C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Pr="004A697C">
        <w:rPr>
          <w:rFonts w:ascii="Times New Roman" w:eastAsia="標楷體" w:hint="eastAsia"/>
          <w:b/>
          <w:sz w:val="28"/>
          <w:szCs w:val="28"/>
        </w:rPr>
        <w:t>網路行銷學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  <w:color w:val="000000"/>
              </w:rPr>
              <w:t>使學生以貼近生活經驗的方式學習網路行銷，將理論、觀念與日常接觸實務結合，從中了解網路行銷理論的涵意以及正確有效地活用網路行銷知識。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分組討論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習作、課堂筆記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期中、期末筆試。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平時成績佔</w:t>
            </w:r>
            <w:r w:rsidRPr="004A697C">
              <w:rPr>
                <w:rFonts w:eastAsia="標楷體"/>
              </w:rPr>
              <w:t>40%</w:t>
            </w:r>
          </w:p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期中、期末考試各佔</w:t>
            </w:r>
            <w:r w:rsidRPr="004A697C">
              <w:rPr>
                <w:rFonts w:eastAsia="標楷體"/>
              </w:rPr>
              <w:t>30%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理論與實務並重，使學生由做中學，熟悉</w:t>
            </w:r>
            <w:r w:rsidRPr="004A697C">
              <w:rPr>
                <w:rFonts w:eastAsia="標楷體" w:hint="eastAsia"/>
                <w:color w:val="000000"/>
              </w:rPr>
              <w:t>網路行銷</w:t>
            </w:r>
            <w:r w:rsidRPr="004A697C">
              <w:rPr>
                <w:rFonts w:eastAsia="標楷體" w:hint="eastAsia"/>
                <w:color w:val="000000"/>
                <w:shd w:val="clear" w:color="auto" w:fill="FFFFFF"/>
              </w:rPr>
              <w:t>理論與應用。</w:t>
            </w:r>
          </w:p>
        </w:tc>
      </w:tr>
      <w:tr w:rsidR="00652460" w:rsidRPr="004A697C" w:rsidTr="008826B5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¼Ð·¢Åé" w:hint="eastAsia"/>
                <w:kern w:val="0"/>
              </w:rPr>
              <w:t>2</w:t>
            </w:r>
            <w:r w:rsidRPr="004A697C">
              <w:rPr>
                <w:rFonts w:eastAsia="標楷體" w:cs="¼Ð·¢Åé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余欣庭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網路行銷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電二</w:t>
            </w:r>
            <w:r w:rsidR="006C1547">
              <w:rPr>
                <w:rFonts w:eastAsia="標楷體" w:cs="標楷體" w:hint="eastAsia"/>
                <w:kern w:val="0"/>
              </w:rPr>
              <w:t>忠</w:t>
            </w:r>
            <w:bookmarkStart w:id="0" w:name="_GoBack"/>
            <w:bookmarkEnd w:id="0"/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台科大圖書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註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31075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常用網路行銷工具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826B5" w:rsidRPr="004A697C" w:rsidRDefault="008826B5" w:rsidP="008826B5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2/16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開學、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2/17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補上班上課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常用網路行銷工具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826B5" w:rsidRPr="004A697C" w:rsidRDefault="008826B5" w:rsidP="008826B5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社群行銷實務</w:t>
            </w:r>
            <w:r w:rsidRPr="004A697C"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2/26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羽球週、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2/28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放假、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社群行銷實務</w:t>
            </w:r>
            <w:r w:rsidRPr="004A697C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消費者保護教育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03/04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優良讀物巡迴書展、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03/07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網路行銷的倫理與法律議題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3/12-13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高三模擬考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826B5" w:rsidRPr="004A697C" w:rsidRDefault="008826B5" w:rsidP="008826B5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3/18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期中考週</w:t>
            </w: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複習與檢討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826B5" w:rsidRPr="004A697C" w:rsidRDefault="008826B5" w:rsidP="008826B5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3/27-29</w:t>
            </w: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網路行銷發展與未來趨勢</w:t>
            </w:r>
            <w:r w:rsidRPr="004A697C"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826B5" w:rsidRPr="004A697C" w:rsidRDefault="008826B5" w:rsidP="008826B5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4/4-5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4A697C">
              <w:rPr>
                <w:rFonts w:eastAsia="標楷體" w:hint="eastAsia"/>
                <w:sz w:val="22"/>
                <w:szCs w:val="22"/>
              </w:rPr>
              <w:t>網路行銷發展與未來趨勢</w:t>
            </w:r>
            <w:r w:rsidRPr="004A697C"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4/12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高三作業抽查、卡拉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OK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決賽、社團成果發表、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親職日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專案行銷教學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826B5" w:rsidRPr="004A697C" w:rsidRDefault="008826B5" w:rsidP="008826B5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4/15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親職日補假、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4/17-19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高三期末考、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高三祈福儀式、送舊活動、高三週記抽查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專案行銷教學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04/27-28</w:t>
            </w: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專案行銷教學</w:t>
            </w: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826B5" w:rsidRPr="004A697C" w:rsidRDefault="008826B5" w:rsidP="008826B5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826B5" w:rsidRPr="004A697C" w:rsidRDefault="008826B5" w:rsidP="008826B5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4A697C">
              <w:rPr>
                <w:rFonts w:eastAsia="標楷體" w:hint="eastAsia"/>
                <w:sz w:val="18"/>
                <w:szCs w:val="18"/>
              </w:rPr>
              <w:t>5/16</w:t>
            </w:r>
            <w:r w:rsidRPr="004A697C">
              <w:rPr>
                <w:rFonts w:eastAsia="標楷體" w:hint="eastAsia"/>
                <w:sz w:val="18"/>
                <w:szCs w:val="18"/>
              </w:rPr>
              <w:t>高一、二作業抽查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826B5" w:rsidRPr="004A697C" w:rsidRDefault="008826B5" w:rsidP="008826B5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5/30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畢業典禮、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6/4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小組報告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期末考週</w:t>
            </w: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-</w:t>
            </w: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複習與檢討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6/18-6/20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4A697C">
              <w:rPr>
                <w:rFonts w:eastAsia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6/28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休業式、法律常識大會考</w:t>
            </w:r>
          </w:p>
        </w:tc>
      </w:tr>
    </w:tbl>
    <w:p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r w:rsidRPr="004A697C">
        <w:rPr>
          <w:rFonts w:eastAsia="標楷體"/>
          <w:sz w:val="22"/>
          <w:szCs w:val="22"/>
        </w:rPr>
        <w:t>（所謂重大議題包含：</w:t>
      </w:r>
      <w:r w:rsidRPr="004A697C">
        <w:rPr>
          <w:rFonts w:eastAsia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4A697C">
        <w:rPr>
          <w:rFonts w:eastAsia="標楷體" w:hint="eastAsia"/>
        </w:rPr>
        <w:lastRenderedPageBreak/>
        <w:t>教育、國際教育、原住民族教育等</w:t>
      </w:r>
      <w:r w:rsidRPr="004A697C">
        <w:rPr>
          <w:rFonts w:eastAsia="標楷體"/>
          <w:sz w:val="22"/>
          <w:szCs w:val="22"/>
        </w:rPr>
        <w:t>）</w:t>
      </w:r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D31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1547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D099-1875-4095-8681-EB9BE69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2</Pages>
  <Words>759</Words>
  <Characters>472</Characters>
  <Application>Microsoft Office Word</Application>
  <DocSecurity>0</DocSecurity>
  <Lines>3</Lines>
  <Paragraphs>2</Paragraphs>
  <ScaleCrop>false</ScaleCrop>
  <Company>User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2024-01-31T05:28:00Z</dcterms:created>
  <dcterms:modified xsi:type="dcterms:W3CDTF">2024-01-31T05:28:00Z</dcterms:modified>
</cp:coreProperties>
</file>