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5F" w:rsidRPr="00BF4B40" w:rsidRDefault="00985F5F" w:rsidP="002C0E05">
      <w:pPr>
        <w:ind w:leftChars="-532" w:left="-1277" w:firstLine="2"/>
        <w:jc w:val="center"/>
        <w:rPr>
          <w:b/>
          <w:color w:val="000000" w:themeColor="text1"/>
        </w:rPr>
      </w:pPr>
      <w:bookmarkStart w:id="0" w:name="page1"/>
      <w:bookmarkEnd w:id="0"/>
      <w:r w:rsidRPr="00BF4B40">
        <w:rPr>
          <w:b/>
          <w:color w:val="000000" w:themeColor="text1"/>
        </w:rPr>
        <w:t>新</w:t>
      </w:r>
      <w:r w:rsidRPr="00BF4B40">
        <w:rPr>
          <w:rFonts w:hint="eastAsia"/>
          <w:b/>
          <w:color w:val="000000" w:themeColor="text1"/>
        </w:rPr>
        <w:t>竹縣仰德</w:t>
      </w:r>
      <w:r w:rsidRPr="00BF4B40">
        <w:rPr>
          <w:b/>
          <w:color w:val="000000" w:themeColor="text1"/>
        </w:rPr>
        <w:t>高級中學學生學習評量辦法補充規定</w:t>
      </w:r>
    </w:p>
    <w:tbl>
      <w:tblPr>
        <w:tblStyle w:val="a3"/>
        <w:tblW w:w="13609" w:type="dxa"/>
        <w:tblInd w:w="-1281" w:type="dxa"/>
        <w:tblLook w:val="04A0" w:firstRow="1" w:lastRow="0" w:firstColumn="1" w:lastColumn="0" w:noHBand="0" w:noVBand="1"/>
      </w:tblPr>
      <w:tblGrid>
        <w:gridCol w:w="1134"/>
        <w:gridCol w:w="12475"/>
      </w:tblGrid>
      <w:tr w:rsidR="00BF4B40" w:rsidRPr="00BF4B40" w:rsidTr="00FE2A17">
        <w:tc>
          <w:tcPr>
            <w:tcW w:w="1134" w:type="dxa"/>
          </w:tcPr>
          <w:p w:rsidR="00E13DC4" w:rsidRPr="00BF4B40" w:rsidRDefault="00E13DC4" w:rsidP="00985F5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名稱</w:t>
            </w:r>
          </w:p>
        </w:tc>
        <w:tc>
          <w:tcPr>
            <w:tcW w:w="12475" w:type="dxa"/>
          </w:tcPr>
          <w:p w:rsidR="00E13DC4" w:rsidRPr="00BF4B40" w:rsidRDefault="00E13DC4" w:rsidP="00985F5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新竹縣仰德高級中學學生學習評量辦法補充規定</w:t>
            </w:r>
          </w:p>
        </w:tc>
      </w:tr>
      <w:tr w:rsidR="00BF4B40" w:rsidRPr="00BF4B40" w:rsidTr="00FE2A17">
        <w:tc>
          <w:tcPr>
            <w:tcW w:w="1134" w:type="dxa"/>
          </w:tcPr>
          <w:p w:rsidR="00E13DC4" w:rsidRPr="00BF4B40" w:rsidRDefault="00BF4B40" w:rsidP="00985F5F">
            <w:pPr>
              <w:rPr>
                <w:rFonts w:ascii="標楷體" w:eastAsia="標楷體" w:hAnsi="標楷體"/>
                <w:color w:val="000000" w:themeColor="text1"/>
                <w:szCs w:val="24"/>
              </w:rPr>
            </w:pPr>
            <w:hyperlink r:id="rId6" w:history="1">
              <w:r w:rsidR="00E13DC4" w:rsidRPr="00BF4B40">
                <w:rPr>
                  <w:rStyle w:val="a8"/>
                  <w:rFonts w:ascii="標楷體" w:eastAsia="標楷體" w:hAnsi="標楷體" w:hint="eastAsia"/>
                  <w:color w:val="000000" w:themeColor="text1"/>
                  <w:szCs w:val="24"/>
                </w:rPr>
                <w:t>第1條</w:t>
              </w:r>
            </w:hyperlink>
          </w:p>
        </w:tc>
        <w:tc>
          <w:tcPr>
            <w:tcW w:w="12475" w:type="dxa"/>
          </w:tcPr>
          <w:p w:rsidR="00E13DC4" w:rsidRPr="00BF4B40" w:rsidRDefault="00E13DC4" w:rsidP="00515824">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本辦法依教育部</w:t>
            </w:r>
            <w:r w:rsidR="00FE2A17" w:rsidRPr="00BF4B40">
              <w:rPr>
                <w:rFonts w:ascii="標楷體" w:eastAsia="標楷體" w:hAnsi="標楷體" w:hint="eastAsia"/>
                <w:color w:val="000000" w:themeColor="text1"/>
                <w:szCs w:val="24"/>
              </w:rPr>
              <w:t>1</w:t>
            </w:r>
            <w:r w:rsidR="00B33161" w:rsidRPr="00BF4B40">
              <w:rPr>
                <w:rFonts w:ascii="標楷體" w:eastAsia="標楷體" w:hAnsi="標楷體" w:hint="eastAsia"/>
                <w:color w:val="000000" w:themeColor="text1"/>
                <w:szCs w:val="24"/>
              </w:rPr>
              <w:t>1</w:t>
            </w:r>
            <w:r w:rsidR="00515824" w:rsidRPr="00BF4B40">
              <w:rPr>
                <w:rFonts w:ascii="標楷體" w:eastAsia="標楷體" w:hAnsi="標楷體" w:hint="eastAsia"/>
                <w:color w:val="000000" w:themeColor="text1"/>
                <w:szCs w:val="24"/>
              </w:rPr>
              <w:t>3</w:t>
            </w:r>
            <w:r w:rsidR="00FE2A17" w:rsidRPr="00BF4B40">
              <w:rPr>
                <w:rFonts w:ascii="標楷體" w:eastAsia="標楷體" w:hAnsi="標楷體" w:hint="eastAsia"/>
                <w:color w:val="000000" w:themeColor="text1"/>
                <w:szCs w:val="24"/>
              </w:rPr>
              <w:t>年</w:t>
            </w:r>
            <w:r w:rsidR="00515824" w:rsidRPr="00BF4B40">
              <w:rPr>
                <w:rFonts w:ascii="標楷體" w:eastAsia="標楷體" w:hAnsi="標楷體" w:hint="eastAsia"/>
                <w:color w:val="000000" w:themeColor="text1"/>
                <w:szCs w:val="24"/>
              </w:rPr>
              <w:t>08</w:t>
            </w:r>
            <w:r w:rsidR="00FE2A17" w:rsidRPr="00BF4B40">
              <w:rPr>
                <w:rFonts w:ascii="標楷體" w:eastAsia="標楷體" w:hAnsi="標楷體" w:hint="eastAsia"/>
                <w:color w:val="000000" w:themeColor="text1"/>
                <w:szCs w:val="24"/>
              </w:rPr>
              <w:t>月</w:t>
            </w:r>
            <w:r w:rsidR="00515824" w:rsidRPr="00BF4B40">
              <w:rPr>
                <w:rFonts w:ascii="標楷體" w:eastAsia="標楷體" w:hAnsi="標楷體" w:hint="eastAsia"/>
                <w:color w:val="000000" w:themeColor="text1"/>
                <w:szCs w:val="24"/>
              </w:rPr>
              <w:t>2</w:t>
            </w:r>
            <w:r w:rsidR="00B33161" w:rsidRPr="00BF4B40">
              <w:rPr>
                <w:rFonts w:ascii="標楷體" w:eastAsia="標楷體" w:hAnsi="標楷體" w:hint="eastAsia"/>
                <w:color w:val="000000" w:themeColor="text1"/>
                <w:szCs w:val="24"/>
              </w:rPr>
              <w:t>1</w:t>
            </w:r>
            <w:r w:rsidR="00FE2A17" w:rsidRPr="00BF4B40">
              <w:rPr>
                <w:rFonts w:ascii="標楷體" w:eastAsia="標楷體" w:hAnsi="標楷體" w:hint="eastAsia"/>
                <w:color w:val="000000" w:themeColor="text1"/>
                <w:szCs w:val="24"/>
              </w:rPr>
              <w:t>日</w:t>
            </w:r>
            <w:r w:rsidRPr="00BF4B40">
              <w:rPr>
                <w:rFonts w:ascii="標楷體" w:eastAsia="標楷體" w:hAnsi="標楷體" w:hint="eastAsia"/>
                <w:color w:val="000000" w:themeColor="text1"/>
                <w:szCs w:val="24"/>
              </w:rPr>
              <w:t>臺教授國部字第</w:t>
            </w:r>
            <w:r w:rsidR="00515824" w:rsidRPr="00BF4B40">
              <w:rPr>
                <w:rFonts w:ascii="標楷體" w:eastAsia="標楷體" w:hAnsi="標楷體" w:hint="eastAsia"/>
                <w:color w:val="000000" w:themeColor="text1"/>
                <w:szCs w:val="24"/>
              </w:rPr>
              <w:t>135404663D號</w:t>
            </w:r>
            <w:r w:rsidRPr="00BF4B40">
              <w:rPr>
                <w:rFonts w:ascii="標楷體" w:eastAsia="標楷體" w:hAnsi="標楷體" w:hint="eastAsia"/>
                <w:color w:val="000000" w:themeColor="text1"/>
                <w:szCs w:val="24"/>
              </w:rPr>
              <w:t>號令</w:t>
            </w:r>
            <w:r w:rsidR="00B33161" w:rsidRPr="00BF4B40">
              <w:rPr>
                <w:rFonts w:ascii="標楷體" w:eastAsia="標楷體" w:hAnsi="標楷體" w:hint="eastAsia"/>
                <w:color w:val="000000" w:themeColor="text1"/>
                <w:szCs w:val="24"/>
              </w:rPr>
              <w:t>修正</w:t>
            </w:r>
            <w:r w:rsidRPr="00BF4B40">
              <w:rPr>
                <w:rFonts w:ascii="標楷體" w:eastAsia="標楷體" w:hAnsi="標楷體" w:hint="eastAsia"/>
                <w:color w:val="000000" w:themeColor="text1"/>
                <w:szCs w:val="24"/>
              </w:rPr>
              <w:t>發布</w:t>
            </w:r>
            <w:r w:rsidR="00B33161" w:rsidRPr="00BF4B40">
              <w:rPr>
                <w:rFonts w:ascii="標楷體" w:eastAsia="標楷體" w:hAnsi="標楷體" w:hint="eastAsia"/>
                <w:color w:val="000000" w:themeColor="text1"/>
                <w:szCs w:val="24"/>
              </w:rPr>
              <w:t>之</w:t>
            </w:r>
            <w:r w:rsidRPr="00BF4B40">
              <w:rPr>
                <w:rFonts w:ascii="標楷體" w:eastAsia="標楷體" w:hAnsi="標楷體" w:hint="eastAsia"/>
                <w:color w:val="000000" w:themeColor="text1"/>
                <w:szCs w:val="24"/>
              </w:rPr>
              <w:t>「高級中學學生學習評量辦法」之規定辦理。</w:t>
            </w:r>
          </w:p>
        </w:tc>
      </w:tr>
      <w:tr w:rsidR="00BF4B40" w:rsidRPr="00BF4B40" w:rsidTr="00FE2A17">
        <w:trPr>
          <w:trHeight w:val="312"/>
        </w:trPr>
        <w:tc>
          <w:tcPr>
            <w:tcW w:w="1134" w:type="dxa"/>
          </w:tcPr>
          <w:p w:rsidR="00E13DC4" w:rsidRPr="00BF4B40" w:rsidRDefault="00E13DC4" w:rsidP="00985F5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第2條</w:t>
            </w:r>
          </w:p>
        </w:tc>
        <w:tc>
          <w:tcPr>
            <w:tcW w:w="12475" w:type="dxa"/>
          </w:tcPr>
          <w:p w:rsidR="00E13DC4" w:rsidRPr="00BF4B40" w:rsidRDefault="00E13DC4" w:rsidP="004C01A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學生學習評量，應以了解學生學習情形，激發學生多元潛能，促進學生適性發展為目的，並作為教師教學及輔導之依據。</w:t>
            </w:r>
          </w:p>
        </w:tc>
      </w:tr>
      <w:tr w:rsidR="00BF4B40" w:rsidRPr="00BF4B40" w:rsidTr="00FE2A17">
        <w:tc>
          <w:tcPr>
            <w:tcW w:w="1134" w:type="dxa"/>
          </w:tcPr>
          <w:p w:rsidR="00E13DC4" w:rsidRPr="00BF4B40" w:rsidRDefault="00E13DC4" w:rsidP="00985F5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第3條</w:t>
            </w:r>
          </w:p>
        </w:tc>
        <w:tc>
          <w:tcPr>
            <w:tcW w:w="12475" w:type="dxa"/>
          </w:tcPr>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高級中學學生成績考查，包括下列二類：</w:t>
            </w:r>
          </w:p>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一、學業成績：採百分制評定。</w:t>
            </w:r>
          </w:p>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二、德行評量：依行為事實綜合評量，不評定分數及等第；其項目如下：</w:t>
            </w:r>
          </w:p>
          <w:p w:rsidR="00ED0B0A"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（一）日常生活綜合表現與校內外特殊表現：考量學生之待人誠信、整潔習慣、禮節、班級服務、社團活動、參與校內外競賽情形及對學校聲</w:t>
            </w:r>
          </w:p>
          <w:p w:rsidR="00E13DC4" w:rsidRPr="00BF4B40" w:rsidRDefault="00ED0B0A"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 xml:space="preserve">      </w:t>
            </w:r>
            <w:r w:rsidR="00E13DC4" w:rsidRPr="00BF4B40">
              <w:rPr>
                <w:rFonts w:ascii="標楷體" w:eastAsia="標楷體" w:hAnsi="標楷體" w:hint="eastAsia"/>
                <w:color w:val="000000" w:themeColor="text1"/>
                <w:szCs w:val="24"/>
              </w:rPr>
              <w:t>譽之影響等。</w:t>
            </w:r>
          </w:p>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（二）服務學習：考量學生尊重生命價值、規劃生涯發展、提升生活素養、體驗社區實際需求，具備公民意識及責任感等。</w:t>
            </w:r>
          </w:p>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（三）獎懲紀錄。</w:t>
            </w:r>
          </w:p>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（四）出缺席紀錄。</w:t>
            </w:r>
          </w:p>
          <w:p w:rsidR="00E13DC4" w:rsidRPr="00BF4B40" w:rsidRDefault="00E13DC4" w:rsidP="0031290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（五）具體建議。</w:t>
            </w:r>
          </w:p>
        </w:tc>
      </w:tr>
      <w:tr w:rsidR="00BF4B40" w:rsidRPr="00BF4B40" w:rsidTr="00FE2A17">
        <w:trPr>
          <w:trHeight w:val="96"/>
        </w:trPr>
        <w:tc>
          <w:tcPr>
            <w:tcW w:w="1134" w:type="dxa"/>
          </w:tcPr>
          <w:p w:rsidR="00E13DC4" w:rsidRPr="00BF4B40" w:rsidRDefault="00E13DC4" w:rsidP="00985F5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第4條</w:t>
            </w:r>
          </w:p>
        </w:tc>
        <w:tc>
          <w:tcPr>
            <w:tcW w:w="12475" w:type="dxa"/>
          </w:tcPr>
          <w:p w:rsidR="00E13DC4" w:rsidRPr="00BF4B40" w:rsidRDefault="00E13DC4" w:rsidP="00945BF1">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學業成績考查應參照學生身心發展與個別差異，並依學科及活動之性質，兼顧認知、技能及情意等學習結果，採擇多元適當之方法，並採日常考查及定期考查。</w:t>
            </w:r>
          </w:p>
          <w:p w:rsidR="00E13DC4" w:rsidRPr="00BF4B40" w:rsidRDefault="00E13DC4" w:rsidP="00945BF1">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一、考查方式：日常考查得參酌各科課程標準中之教學評量，採用多樣化方式，不限於紙筆測驗。定期考查以紙筆測驗方式行之為原則；藝能學科依其教學目標，採多元彈性評量為原則。</w:t>
            </w:r>
          </w:p>
          <w:p w:rsidR="00E13DC4" w:rsidRPr="00BF4B40" w:rsidRDefault="00E13DC4" w:rsidP="00B23F12">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二、考查次數：依各科每週教學時數，每學期舉行二至四次為原則。</w:t>
            </w:r>
          </w:p>
          <w:p w:rsidR="00E13DC4" w:rsidRPr="00BF4B40" w:rsidRDefault="00E13DC4" w:rsidP="00B23F12">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成績評定：各學科以日常考查占該科成績之40%，期中考查占該科成績之30%，期末考查占該科成績之30%為原則。藝能學科得由各科教學研究會訂定之。依各學科每週教學時數及學科性質，於每學期期初教學研究會時訂定各學科日常考查成績計算標準及相關規定。</w:t>
            </w:r>
          </w:p>
        </w:tc>
      </w:tr>
      <w:tr w:rsidR="00BF4B40" w:rsidRPr="00BF4B40" w:rsidTr="00FE2A17">
        <w:trPr>
          <w:trHeight w:val="156"/>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第5條</w:t>
            </w:r>
          </w:p>
        </w:tc>
        <w:tc>
          <w:tcPr>
            <w:tcW w:w="12475" w:type="dxa"/>
          </w:tcPr>
          <w:p w:rsidR="00E13DC4" w:rsidRPr="00BF4B40" w:rsidRDefault="00E13DC4" w:rsidP="005D5DB6">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學業成績考查之科目，依教育部所定課程規定辦理。每一科目學分之計算，以每學期每週授課一節，或總授課節數達十八節，為一學分。</w:t>
            </w:r>
          </w:p>
        </w:tc>
      </w:tr>
      <w:tr w:rsidR="00BF4B40" w:rsidRPr="00BF4B40" w:rsidTr="00FE2A17">
        <w:trPr>
          <w:trHeight w:val="180"/>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第6條</w:t>
            </w:r>
          </w:p>
        </w:tc>
        <w:tc>
          <w:tcPr>
            <w:tcW w:w="12475" w:type="dxa"/>
          </w:tcPr>
          <w:p w:rsidR="00E13DC4" w:rsidRPr="00BF4B40" w:rsidRDefault="00E13DC4" w:rsidP="00ED5584">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學生於定期考查時，因公、因病或因特殊事故不能參加全部科目或</w:t>
            </w:r>
            <w:r w:rsidR="00ED0B0A" w:rsidRPr="00BF4B40">
              <w:rPr>
                <w:rFonts w:ascii="標楷體" w:eastAsia="標楷體" w:hAnsi="標楷體" w:hint="eastAsia"/>
                <w:color w:val="000000" w:themeColor="text1"/>
                <w:szCs w:val="24"/>
              </w:rPr>
              <w:t>部分科目之考查，報經學校核准給假者，准予補行考試或採其它方式考</w:t>
            </w:r>
            <w:r w:rsidRPr="00BF4B40">
              <w:rPr>
                <w:rFonts w:ascii="標楷體" w:eastAsia="標楷體" w:hAnsi="標楷體" w:hint="eastAsia"/>
                <w:color w:val="000000" w:themeColor="text1"/>
                <w:szCs w:val="24"/>
              </w:rPr>
              <w:t>之。</w:t>
            </w:r>
          </w:p>
          <w:p w:rsidR="00E13DC4" w:rsidRPr="00BF4B40" w:rsidRDefault="00E13DC4" w:rsidP="00ED5584">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一、補考成績計算如下：</w:t>
            </w:r>
          </w:p>
          <w:p w:rsidR="00E13DC4" w:rsidRPr="00BF4B40" w:rsidRDefault="00E13DC4" w:rsidP="00ED5584">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(一)因公、重病、直系尊親屬喪亡、或不可抗力之重大事故者，依實得分數計算。</w:t>
            </w:r>
          </w:p>
          <w:p w:rsidR="00E13DC4" w:rsidRPr="00BF4B40" w:rsidRDefault="00E13DC4" w:rsidP="00ED5584">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(二)因其他原因之事假、病假缺考者，補行考試成績六十分以上一律以六十分計算，未達六十分者，則以實得分數計算。</w:t>
            </w:r>
          </w:p>
        </w:tc>
      </w:tr>
      <w:tr w:rsidR="00BF4B40" w:rsidRPr="00BF4B40" w:rsidTr="00FE2A17">
        <w:trPr>
          <w:trHeight w:val="20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第7條</w:t>
            </w:r>
          </w:p>
        </w:tc>
        <w:tc>
          <w:tcPr>
            <w:tcW w:w="12475" w:type="dxa"/>
          </w:tcPr>
          <w:p w:rsidR="00E13DC4" w:rsidRPr="00BF4B40" w:rsidRDefault="00E13DC4" w:rsidP="00DD668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學期學業總平均成績之計算，為各科目學期成績乘以各該科目學分數所得之總和，再以總學分數除之。</w:t>
            </w:r>
          </w:p>
          <w:p w:rsidR="00E13DC4" w:rsidRPr="00BF4B40" w:rsidRDefault="00E13DC4" w:rsidP="00DD668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學業總平均成績，以該學年度各學期學業總平均成績平均計算之。</w:t>
            </w:r>
          </w:p>
        </w:tc>
      </w:tr>
      <w:tr w:rsidR="00BF4B40" w:rsidRPr="00BF4B40" w:rsidTr="00FE2A17">
        <w:trPr>
          <w:trHeight w:val="20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第8條</w:t>
            </w:r>
          </w:p>
        </w:tc>
        <w:tc>
          <w:tcPr>
            <w:tcW w:w="12475" w:type="dxa"/>
          </w:tcPr>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學業成績以一百分為滿分，其及格基準規定如下：</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一、一般學生：均以六十分為及格。</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依各種升學優待辦法入學之政府派赴國外工作人員子女、退伍軍人、僑生、蒙藏學生、外國學生、重大災害地區學生、原住民學生及境外優秀科技人才子女：初入學第一年以四十分為及格，第二年以五十分為及格，第三年以後以六十分為及格。</w:t>
            </w:r>
          </w:p>
          <w:p w:rsidR="00ED0B0A"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三、依中等以上學校運動成績優良升學輔導辦法規定入學之運動成績優良學生：初入學第一年、第二年以四十分為及格，第三年以後以五十分為及格。</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前項各款學生學業成績不及格之科目，其成績達下列基準者，得予補考：</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一、一般學生：四十分。</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二、前項第二款、第三款學生：</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（一）及格分數為四十分者：三十分。</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（二）及格分數為五十分或六十分者：四十分。</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三、前二款學生遭遇特殊事故者：由教務處會議決定。</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前項補考之成績，依下列規定採計：</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 補考及格者，授予學分，並以第一項所定及格分數計。</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 補考不及格者，不授予學分，該科目成績就補考成績或原成績擇優登錄。</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lastRenderedPageBreak/>
              <w:t>身心障礙學生之學業成績考查，</w:t>
            </w:r>
            <w:r w:rsidR="00515824" w:rsidRPr="00BF4B40">
              <w:rPr>
                <w:rFonts w:ascii="標楷體" w:eastAsia="標楷體" w:hAnsi="標楷體" w:hint="eastAsia"/>
                <w:color w:val="000000" w:themeColor="text1"/>
                <w:szCs w:val="24"/>
              </w:rPr>
              <w:t>應依特殊教育法及高級中等以下學校特殊教育課程教材教法及評量實施辦法相關規定辦理</w:t>
            </w:r>
            <w:r w:rsidRPr="00BF4B40">
              <w:rPr>
                <w:rFonts w:ascii="標楷體" w:eastAsia="標楷體" w:hAnsi="標楷體" w:hint="eastAsia"/>
                <w:color w:val="000000" w:themeColor="text1"/>
                <w:szCs w:val="24"/>
              </w:rPr>
              <w:t>。</w:t>
            </w:r>
          </w:p>
          <w:p w:rsidR="00E13DC4" w:rsidRPr="00BF4B40" w:rsidRDefault="00E13DC4" w:rsidP="004B182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學生對於各項成績如有疑義，應於成績公布後一週內向學校申請複查。</w:t>
            </w:r>
          </w:p>
        </w:tc>
      </w:tr>
      <w:tr w:rsidR="00BF4B40" w:rsidRPr="00BF4B40" w:rsidTr="00FE2A17">
        <w:trPr>
          <w:trHeight w:val="14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lastRenderedPageBreak/>
              <w:t>第9條</w:t>
            </w:r>
          </w:p>
        </w:tc>
        <w:tc>
          <w:tcPr>
            <w:tcW w:w="12475" w:type="dxa"/>
          </w:tcPr>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學生各學年度上學期學業成績不及格科目之學分數，達該學期修習總學分數二分之一者，下學期得由學校輔導其減修或補修學分；其減修、補修之學分，則由教務處會議決定之。</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學生學期學業成績未達前條第一項各款及格基準之科目，其成績達下列基準者，應予補考：</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一、一般學生：四十分。</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二、前條第一項第二款至第四款學生：</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(一)及格分數為四十分者：三十分。</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(二)及格分數為五十分或六十分者：四十分。</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三、前二款學生遭遇特殊情事者：由學校定之。</w:t>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學校辦理學生學期不及格科目之補考，應以 1 次為限。前項補考科目，其補考所得之成績，達前條第一項各款及格基準者，授予學分，並依各款所定及格基準分數登錄；未達及格基準者，不授予學分，並就補考後成績或原成績擇優登錄。</w:t>
            </w:r>
            <w:r w:rsidRPr="00BF4B40">
              <w:rPr>
                <w:rFonts w:ascii="標楷體" w:eastAsia="標楷體" w:hAnsi="標楷體" w:hint="eastAsia"/>
                <w:color w:val="000000" w:themeColor="text1"/>
                <w:szCs w:val="24"/>
              </w:rPr>
              <w:tab/>
            </w:r>
            <w:r w:rsidRPr="00BF4B40">
              <w:rPr>
                <w:rFonts w:ascii="標楷體" w:eastAsia="標楷體" w:hAnsi="標楷體" w:hint="eastAsia"/>
                <w:color w:val="000000" w:themeColor="text1"/>
                <w:szCs w:val="24"/>
              </w:rPr>
              <w:tab/>
            </w:r>
          </w:p>
          <w:p w:rsidR="00E13DC4" w:rsidRPr="00BF4B40" w:rsidRDefault="00E13DC4" w:rsidP="007D19D8">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學生學年學業成績達前條第一項各款及格基準之科目，該學年度各學期均授予學分；其各學期成績仍應以該學期實得分數登錄。</w:t>
            </w:r>
          </w:p>
        </w:tc>
      </w:tr>
      <w:tr w:rsidR="00BF4B40" w:rsidRPr="00BF4B40" w:rsidTr="00FE2A17">
        <w:trPr>
          <w:trHeight w:val="120"/>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第10條</w:t>
            </w:r>
          </w:p>
        </w:tc>
        <w:tc>
          <w:tcPr>
            <w:tcW w:w="12475" w:type="dxa"/>
          </w:tcPr>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各科目學年成績，以該學年度該科目各學期成績平均計算。學年成績及格之科目，該學年度各學期均授予學分。</w:t>
            </w:r>
          </w:p>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學年成績不及格之科目，得申請重修；其重修方式，以修讀下一年級開設之課程為原則，必要時，得按下列方式順序為之：</w:t>
            </w:r>
          </w:p>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一、專班重修：重修學生人數達十五人以上者，由學校開設專門班級，讓學生重新修讀。</w:t>
            </w:r>
          </w:p>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二、自學輔導：重修學生未達前款所定一定人數者，由教師指定教材，供學生自行修讀，並安排面授指導，每一學分不得少於三節。</w:t>
            </w:r>
          </w:p>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前項各款辦理方式，悉依主管教育行政機關規定辦理。第三項各款重修之成績，其採計方式如下︰</w:t>
            </w:r>
          </w:p>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一、重修後成績及格之科目，該學年度各學期均授予學分。</w:t>
            </w:r>
          </w:p>
          <w:p w:rsidR="00E13DC4"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二、重修後成績及格之科目，其成績依前條第一項各款所定及格分數登錄。</w:t>
            </w:r>
          </w:p>
          <w:p w:rsidR="00225B9D" w:rsidRPr="00BF4B40" w:rsidRDefault="00E13DC4"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三、重修後成績不及格之科目，僅就重修前及格之學期授予學分，並以原成績登錄</w:t>
            </w:r>
            <w:r w:rsidR="00225B9D" w:rsidRPr="00BF4B40">
              <w:rPr>
                <w:rFonts w:ascii="標楷體" w:eastAsia="標楷體" w:hAnsi="標楷體" w:hint="eastAsia"/>
                <w:color w:val="000000" w:themeColor="text1"/>
                <w:szCs w:val="24"/>
              </w:rPr>
              <w:t>。</w:t>
            </w:r>
          </w:p>
          <w:p w:rsidR="00E13DC4" w:rsidRPr="00BF4B40" w:rsidRDefault="00225B9D" w:rsidP="0015647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 xml:space="preserve">    </w:t>
            </w:r>
            <w:r w:rsidR="00E13DC4" w:rsidRPr="00BF4B40">
              <w:rPr>
                <w:rFonts w:ascii="標楷體" w:eastAsia="標楷體" w:hAnsi="標楷體" w:hint="eastAsia"/>
                <w:color w:val="000000" w:themeColor="text1"/>
                <w:szCs w:val="24"/>
              </w:rPr>
              <w:t>重修後不及格科目之學期成績，得就重修前後成績擇優登錄。</w:t>
            </w:r>
          </w:p>
        </w:tc>
      </w:tr>
      <w:tr w:rsidR="00BF4B40" w:rsidRPr="00BF4B40" w:rsidTr="00FE2A17">
        <w:trPr>
          <w:trHeight w:val="156"/>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第11條</w:t>
            </w:r>
          </w:p>
        </w:tc>
        <w:tc>
          <w:tcPr>
            <w:tcW w:w="12475" w:type="dxa"/>
          </w:tcPr>
          <w:p w:rsidR="00E13DC4" w:rsidRPr="00BF4B40" w:rsidRDefault="00E13DC4" w:rsidP="004C3067">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學生依前條規定完成重修、補修後，其所得成績達第八條第一項各款及格基準之科目，授予學分；未達及格基準者，不授予學分。</w:t>
            </w:r>
          </w:p>
          <w:p w:rsidR="00E13DC4" w:rsidRPr="00BF4B40" w:rsidRDefault="00E13DC4" w:rsidP="004C3067">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前項重修、補修後之科目成績登錄，依下列規定辦理：</w:t>
            </w:r>
          </w:p>
          <w:p w:rsidR="00E13DC4" w:rsidRPr="00BF4B40" w:rsidRDefault="00E13DC4" w:rsidP="004C3067">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一、重修：達第八條第一項各款及格基準者，依各款所定及格基準分數登錄；未達及格基準者，就重修前後成績，擇優登錄。</w:t>
            </w:r>
          </w:p>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二、補修：依實得成績登錄。</w:t>
            </w:r>
          </w:p>
        </w:tc>
      </w:tr>
      <w:tr w:rsidR="00BF4B40" w:rsidRPr="00BF4B40" w:rsidTr="00FE2A17">
        <w:trPr>
          <w:trHeight w:val="180"/>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第12條</w:t>
            </w:r>
          </w:p>
        </w:tc>
        <w:tc>
          <w:tcPr>
            <w:tcW w:w="12475" w:type="dxa"/>
          </w:tcPr>
          <w:p w:rsidR="00E13DC4" w:rsidRPr="00BF4B40" w:rsidRDefault="00E13DC4" w:rsidP="000F604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學生各學年度第一學期取得之學分數，未達該學期修習總學分數二分之一者，第二學期得由學校輔導其減修學分。</w:t>
            </w:r>
          </w:p>
          <w:p w:rsidR="00E13DC4" w:rsidRPr="00BF4B40" w:rsidRDefault="00E13DC4" w:rsidP="000F604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休學學生申請提前一學期復學者，準用前項規定。</w:t>
            </w:r>
          </w:p>
        </w:tc>
      </w:tr>
      <w:tr w:rsidR="00BF4B40" w:rsidRPr="00BF4B40" w:rsidTr="00FE2A17">
        <w:trPr>
          <w:trHeight w:val="20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第13條</w:t>
            </w:r>
          </w:p>
        </w:tc>
        <w:tc>
          <w:tcPr>
            <w:tcW w:w="12475" w:type="dxa"/>
          </w:tcPr>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學生各學年度取得之學分數，未達該學年度修習總學分數二分之一者，得重讀。</w:t>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該學年度取得之學分數計算，應包括下列學分數：</w:t>
            </w:r>
            <w:r w:rsidRPr="00BF4B40">
              <w:rPr>
                <w:rFonts w:ascii="標楷體" w:eastAsia="標楷體" w:hAnsi="標楷體" w:hint="eastAsia"/>
                <w:color w:val="000000" w:themeColor="text1"/>
                <w:szCs w:val="24"/>
              </w:rPr>
              <w:tab/>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一、學期及格科目之學分數。</w:t>
            </w:r>
            <w:r w:rsidRPr="00BF4B40">
              <w:rPr>
                <w:rFonts w:ascii="標楷體" w:eastAsia="標楷體" w:hAnsi="標楷體" w:hint="eastAsia"/>
                <w:color w:val="000000" w:themeColor="text1"/>
                <w:szCs w:val="24"/>
              </w:rPr>
              <w:tab/>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二、補考後及格科目之學分數。</w:t>
            </w:r>
            <w:r w:rsidRPr="00BF4B40">
              <w:rPr>
                <w:rFonts w:ascii="標楷體" w:eastAsia="標楷體" w:hAnsi="標楷體" w:hint="eastAsia"/>
                <w:color w:val="000000" w:themeColor="text1"/>
                <w:szCs w:val="24"/>
              </w:rPr>
              <w:tab/>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三、重修及補修後及格科目之學分數。</w:t>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重讀時，學生對於已修習及格之科目申請免修者，學校應准予免修，該科目原成績列入重讀學期之成績一併計算。</w:t>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學生於重讀時，對於已修習及格之科目，自願申請再次選讀者，該科目成績，就再次選讀之成績或原成績擇優登錄對於重讀之學生，學校應給予適當之輔導。</w:t>
            </w:r>
          </w:p>
          <w:p w:rsidR="00E13DC4" w:rsidRPr="00BF4B40" w:rsidRDefault="00E13DC4" w:rsidP="00EC1AAF">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學校為協助學生取得畢業應修學分數，應針對學生各學期學分取得情形，提供預警措施並給予個別輔導。</w:t>
            </w:r>
          </w:p>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轉學生入學時、轉科（學程）學生轉科（學程）時及休學學生復學時，準用前三項規定。</w:t>
            </w:r>
          </w:p>
        </w:tc>
      </w:tr>
      <w:tr w:rsidR="00BF4B40" w:rsidRPr="00BF4B40" w:rsidTr="00FE2A17">
        <w:trPr>
          <w:trHeight w:val="120"/>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第14條</w:t>
            </w:r>
          </w:p>
        </w:tc>
        <w:tc>
          <w:tcPr>
            <w:tcW w:w="12475" w:type="dxa"/>
          </w:tcPr>
          <w:p w:rsidR="00E13DC4" w:rsidRPr="00BF4B40" w:rsidRDefault="00E13DC4" w:rsidP="009F61A5">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學校應依學業成績考查結果進行分析，作為實施差異化及補救教學之依據，並輔導學生適性學習，發揮學生潛能。</w:t>
            </w:r>
          </w:p>
        </w:tc>
      </w:tr>
      <w:tr w:rsidR="00BF4B40" w:rsidRPr="00BF4B40" w:rsidTr="00FE2A17">
        <w:trPr>
          <w:trHeight w:val="20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第15條</w:t>
            </w:r>
          </w:p>
        </w:tc>
        <w:tc>
          <w:tcPr>
            <w:tcW w:w="12475" w:type="dxa"/>
          </w:tcPr>
          <w:p w:rsidR="00E13DC4" w:rsidRPr="00BF4B40" w:rsidRDefault="00E13DC4" w:rsidP="000045D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新生與轉學生入學前、轉科（學程）學生轉科（學程）前及休學學生復學前，已修習及格之科目及學分，經審查符合課程要求，或經甄試及格者，得列抵免修，不及格或未修之科目學分，均應重修或補修；其審查、甄試及學分抵免，由教務處會議決定。</w:t>
            </w:r>
          </w:p>
          <w:p w:rsidR="00E13DC4" w:rsidRPr="00BF4B40" w:rsidRDefault="00E13DC4" w:rsidP="000045D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轉學生有前條第一項規定之情事者，學校應視該學生之學習狀況，編入適當之年級就讀。</w:t>
            </w:r>
          </w:p>
        </w:tc>
      </w:tr>
      <w:tr w:rsidR="00BF4B40" w:rsidRPr="00BF4B40" w:rsidTr="00FE2A17">
        <w:trPr>
          <w:trHeight w:val="14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第16條</w:t>
            </w:r>
          </w:p>
        </w:tc>
        <w:tc>
          <w:tcPr>
            <w:tcW w:w="12475" w:type="dxa"/>
          </w:tcPr>
          <w:p w:rsidR="00E13DC4" w:rsidRPr="00BF4B40" w:rsidRDefault="00E13DC4" w:rsidP="007C1590">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對於資賦優異學生，得由學校辦理學科免修鑑定。經鑑定合格者，得免修該學科該學期或學年有關之課程或科目，其</w:t>
            </w:r>
            <w:r w:rsidRPr="00BF4B40">
              <w:rPr>
                <w:rFonts w:ascii="標楷體" w:eastAsia="標楷體" w:hAnsi="標楷體" w:hint="eastAsia"/>
                <w:color w:val="000000" w:themeColor="text1"/>
                <w:szCs w:val="24"/>
              </w:rPr>
              <w:lastRenderedPageBreak/>
              <w:t>學科成績以鑑定之分數登錄之。</w:t>
            </w:r>
          </w:p>
          <w:p w:rsidR="00E13DC4" w:rsidRPr="00BF4B40" w:rsidRDefault="00E13DC4" w:rsidP="007C1590">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學生取得之校外學習成就或教育訓練，經審查符合課程要求，或經甄試及格者，得列抵免修；其審查、甄試及學分抵免規定，由教務處會議決定。</w:t>
            </w:r>
          </w:p>
        </w:tc>
      </w:tr>
      <w:tr w:rsidR="00BF4B40" w:rsidRPr="00BF4B40" w:rsidTr="00FE2A17">
        <w:trPr>
          <w:trHeight w:val="120"/>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lastRenderedPageBreak/>
              <w:t>第17條</w:t>
            </w:r>
          </w:p>
        </w:tc>
        <w:tc>
          <w:tcPr>
            <w:tcW w:w="12475" w:type="dxa"/>
          </w:tcPr>
          <w:p w:rsidR="00E13DC4" w:rsidRPr="00BF4B40" w:rsidRDefault="00E13DC4" w:rsidP="00B3191E">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學生取得經我國駐外使領館、代表處、辦事處或其他經外交部授權機構查證認定相當於國內高級中學教育階段之正式合格國外學歷，其在國外所修之科目學分，經學校審查符合課程</w:t>
            </w:r>
          </w:p>
          <w:p w:rsidR="00E13DC4" w:rsidRPr="00BF4B40" w:rsidRDefault="00E13DC4" w:rsidP="00B3191E">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要求，或經甄試及格者，得列抵免修或升級。</w:t>
            </w:r>
          </w:p>
          <w:p w:rsidR="00E13DC4" w:rsidRPr="00BF4B40" w:rsidRDefault="00E13DC4" w:rsidP="00B3191E">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學生經學校核准後，赴國外或國內其他高級中等以上學校進修或學習，取得學分證明、學習成就或教育訓練，經學校審查符合課程要求者，得列抵免修或升級。</w:t>
            </w:r>
          </w:p>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前二項學生學歷、學分證明、學習成就或教育訓練之審查、甄試、學分採計及赴國外或國內其他高級中等以上學校學習期間之相關規定，悉依主管教育行政機關規定辦理。</w:t>
            </w:r>
          </w:p>
        </w:tc>
      </w:tr>
      <w:tr w:rsidR="00BF4B40" w:rsidRPr="00BF4B40" w:rsidTr="00FE2A17">
        <w:trPr>
          <w:trHeight w:val="156"/>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第18條</w:t>
            </w:r>
          </w:p>
        </w:tc>
        <w:tc>
          <w:tcPr>
            <w:tcW w:w="12475" w:type="dxa"/>
          </w:tcPr>
          <w:p w:rsidR="00E13DC4" w:rsidRPr="00BF4B40" w:rsidRDefault="00E13DC4" w:rsidP="008A1207">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學校得推薦學生赴專科以上學校預修進階課程；其辦理方式及學習評量，由學校依相關法令之規定，協同專科以上學校共同訂定之。</w:t>
            </w:r>
          </w:p>
        </w:tc>
      </w:tr>
      <w:tr w:rsidR="00BF4B40" w:rsidRPr="00BF4B40" w:rsidTr="00FE2A17">
        <w:trPr>
          <w:trHeight w:val="216"/>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第19條</w:t>
            </w:r>
          </w:p>
        </w:tc>
        <w:tc>
          <w:tcPr>
            <w:tcW w:w="12475" w:type="dxa"/>
          </w:tcPr>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德行評量，依學生行為事實作綜合評量，不評定分數及等第。</w:t>
            </w:r>
          </w:p>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德行評量項目如下：</w:t>
            </w:r>
          </w:p>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一、日常生活綜合表現及校內外特殊表現。</w:t>
            </w:r>
          </w:p>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二、服務學習。</w:t>
            </w:r>
          </w:p>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三、獎懲紀錄。</w:t>
            </w:r>
            <w:bookmarkStart w:id="1" w:name="_GoBack"/>
            <w:bookmarkEnd w:id="1"/>
          </w:p>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四、出缺席紀錄。</w:t>
            </w:r>
          </w:p>
          <w:p w:rsidR="00E13DC4" w:rsidRPr="00BF4B40" w:rsidRDefault="00E13DC4" w:rsidP="0078070B">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五、具體建議。</w:t>
            </w:r>
          </w:p>
        </w:tc>
      </w:tr>
      <w:tr w:rsidR="00BF4B40" w:rsidRPr="00BF4B40" w:rsidTr="00FE2A17">
        <w:trPr>
          <w:trHeight w:val="132"/>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第20條</w:t>
            </w:r>
          </w:p>
        </w:tc>
        <w:tc>
          <w:tcPr>
            <w:tcW w:w="12475" w:type="dxa"/>
          </w:tcPr>
          <w:p w:rsidR="00E13DC4" w:rsidRPr="00BF4B40" w:rsidRDefault="00E13DC4" w:rsidP="003D4586">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德行評量以學期為單位由導師依第二條第二款各目規定，參考各科任課教師及相關行政單位提供之意見，依行為事實記錄，並視需要提出具體建議，作為學生輔導及其他適性教育安置之依據。</w:t>
            </w:r>
          </w:p>
          <w:p w:rsidR="00E13DC4" w:rsidRPr="00BF4B40" w:rsidRDefault="00E13DC4" w:rsidP="003D4586">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補修學生及延修學生之德行評量，由學校依其修課情形並參酌一般學生之規定定之。</w:t>
            </w:r>
          </w:p>
        </w:tc>
      </w:tr>
      <w:tr w:rsidR="00BF4B40" w:rsidRPr="00BF4B40" w:rsidTr="00FE2A17">
        <w:trPr>
          <w:trHeight w:val="180"/>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第21條</w:t>
            </w:r>
          </w:p>
        </w:tc>
        <w:tc>
          <w:tcPr>
            <w:tcW w:w="12475"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德行評量之獎懲，依下列規定辦理：</w:t>
            </w:r>
            <w:r w:rsidRPr="00BF4B40">
              <w:rPr>
                <w:rFonts w:ascii="標楷體" w:eastAsia="標楷體" w:hAnsi="標楷體"/>
                <w:color w:val="000000" w:themeColor="text1"/>
                <w:szCs w:val="24"/>
              </w:rPr>
              <w:t xml:space="preserve"> </w:t>
            </w:r>
            <w:r w:rsidRPr="00BF4B40">
              <w:rPr>
                <w:rFonts w:ascii="標楷體" w:eastAsia="標楷體" w:hAnsi="標楷體" w:hint="eastAsia"/>
                <w:color w:val="000000" w:themeColor="text1"/>
                <w:szCs w:val="24"/>
              </w:rPr>
              <w:t>一、獎勵：分為嘉獎、小功及大功。</w:t>
            </w:r>
            <w:r w:rsidRPr="00BF4B40">
              <w:rPr>
                <w:rFonts w:ascii="標楷體" w:eastAsia="標楷體" w:hAnsi="標楷體"/>
                <w:color w:val="000000" w:themeColor="text1"/>
                <w:szCs w:val="24"/>
              </w:rPr>
              <w:t xml:space="preserve"> </w:t>
            </w:r>
            <w:r w:rsidRPr="00BF4B40">
              <w:rPr>
                <w:rFonts w:ascii="標楷體" w:eastAsia="標楷體" w:hAnsi="標楷體" w:hint="eastAsia"/>
                <w:color w:val="000000" w:themeColor="text1"/>
                <w:szCs w:val="24"/>
              </w:rPr>
              <w:t>二、懲處：分為警告、小過、大過及留校察看。學生之獎懲，除應通知學生、導師、家長或監護人外，於學期結束時列入德行評量。第一項之獎懲項目、事由、程序、獎懲相抵及銷過之相關規定，依本校「學生獎懲實施要點」實施。</w:t>
            </w:r>
          </w:p>
        </w:tc>
      </w:tr>
      <w:tr w:rsidR="00BF4B40" w:rsidRPr="00BF4B40" w:rsidTr="00FE2A17">
        <w:trPr>
          <w:trHeight w:val="144"/>
        </w:trPr>
        <w:tc>
          <w:tcPr>
            <w:tcW w:w="1134" w:type="dxa"/>
          </w:tcPr>
          <w:p w:rsidR="00E13DC4" w:rsidRPr="00BF4B40" w:rsidRDefault="00E13DC4" w:rsidP="0073419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第22條</w:t>
            </w:r>
          </w:p>
        </w:tc>
        <w:tc>
          <w:tcPr>
            <w:tcW w:w="12475" w:type="dxa"/>
          </w:tcPr>
          <w:p w:rsidR="00E13DC4" w:rsidRPr="00BF4B40" w:rsidRDefault="00E13DC4" w:rsidP="00BF4B40">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學生請假別，分為公假、事假、病假</w:t>
            </w:r>
            <w:r w:rsidR="00604841" w:rsidRPr="00BF4B40">
              <w:rPr>
                <w:rFonts w:ascii="標楷體" w:eastAsia="標楷體" w:hAnsi="標楷體" w:hint="eastAsia"/>
                <w:color w:val="000000" w:themeColor="text1"/>
                <w:szCs w:val="24"/>
              </w:rPr>
              <w:t>、生理假、身心調適假</w:t>
            </w:r>
            <w:r w:rsidRPr="00BF4B40">
              <w:rPr>
                <w:rFonts w:ascii="標楷體" w:eastAsia="標楷體" w:hAnsi="標楷體" w:hint="eastAsia"/>
                <w:color w:val="000000" w:themeColor="text1"/>
                <w:szCs w:val="24"/>
              </w:rPr>
              <w:t>、婚假、產前假、娩假、陪產假、流產假、育嬰假及喪假；其請假規定，由學校定之。德行評量之出缺席紀錄，依學生請假規定辦理。</w:t>
            </w:r>
          </w:p>
        </w:tc>
      </w:tr>
      <w:tr w:rsidR="00BF4B40" w:rsidRPr="00BF4B40" w:rsidTr="00FE2A17">
        <w:trPr>
          <w:trHeight w:val="168"/>
        </w:trPr>
        <w:tc>
          <w:tcPr>
            <w:tcW w:w="1134" w:type="dxa"/>
          </w:tcPr>
          <w:p w:rsidR="00E13DC4" w:rsidRPr="00BF4B40" w:rsidRDefault="00E13DC4" w:rsidP="0073419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第23條</w:t>
            </w:r>
          </w:p>
        </w:tc>
        <w:tc>
          <w:tcPr>
            <w:tcW w:w="12475" w:type="dxa"/>
          </w:tcPr>
          <w:p w:rsidR="00E13DC4" w:rsidRPr="00BF4B40" w:rsidRDefault="00E13DC4" w:rsidP="00542269">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學生缺課除因學校請假規定或其他特殊事故，經學校核准給假外，其缺課節數達該科目全學期教學總節數三分之一者，該科目成績以零分計算。前項學校核准給假之假別，不包括事假。</w:t>
            </w:r>
            <w:r w:rsidRPr="00BF4B40">
              <w:rPr>
                <w:rFonts w:ascii="標楷體" w:eastAsia="標楷體" w:hAnsi="標楷體"/>
                <w:color w:val="000000" w:themeColor="text1"/>
                <w:szCs w:val="24"/>
              </w:rPr>
              <w:t xml:space="preserve"> </w:t>
            </w:r>
            <w:r w:rsidRPr="00BF4B40">
              <w:rPr>
                <w:rFonts w:ascii="標楷體" w:eastAsia="標楷體" w:hAnsi="標楷體" w:hint="eastAsia"/>
                <w:color w:val="000000" w:themeColor="text1"/>
                <w:szCs w:val="24"/>
              </w:rPr>
              <w:t>學生缺課致影響課業時，應視其情形給予個別輔導。</w:t>
            </w:r>
            <w:r w:rsidRPr="00BF4B40">
              <w:rPr>
                <w:rFonts w:ascii="標楷體" w:eastAsia="標楷體" w:hAnsi="標楷體"/>
                <w:color w:val="000000" w:themeColor="text1"/>
                <w:szCs w:val="24"/>
              </w:rPr>
              <w:t xml:space="preserve"> </w:t>
            </w:r>
          </w:p>
        </w:tc>
      </w:tr>
      <w:tr w:rsidR="00BF4B40" w:rsidRPr="00BF4B40" w:rsidTr="00FE2A17">
        <w:trPr>
          <w:trHeight w:val="240"/>
        </w:trPr>
        <w:tc>
          <w:tcPr>
            <w:tcW w:w="1134" w:type="dxa"/>
          </w:tcPr>
          <w:p w:rsidR="00E13DC4" w:rsidRPr="00BF4B40" w:rsidRDefault="00E13DC4" w:rsidP="0073419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第24條</w:t>
            </w:r>
          </w:p>
        </w:tc>
        <w:tc>
          <w:tcPr>
            <w:tcW w:w="12475" w:type="dxa"/>
          </w:tcPr>
          <w:p w:rsidR="00E13DC4" w:rsidRPr="00BF4B40" w:rsidRDefault="00E13DC4" w:rsidP="00E96DA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學生除公假外，全學期缺課達教學總日數二分之一者，應辦理休學。學生曠課累積達四十二節，經提學生事務會議通過後，應依據本校學生獎懲規定與相關程序輔導及安置。</w:t>
            </w:r>
          </w:p>
        </w:tc>
      </w:tr>
      <w:tr w:rsidR="00BF4B40" w:rsidRPr="00BF4B40" w:rsidTr="00FE2A17">
        <w:trPr>
          <w:trHeight w:val="204"/>
        </w:trPr>
        <w:tc>
          <w:tcPr>
            <w:tcW w:w="1134"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第25條</w:t>
            </w:r>
          </w:p>
        </w:tc>
        <w:tc>
          <w:tcPr>
            <w:tcW w:w="12475"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 xml:space="preserve">高中部職業類科學生成績考查結果，依下列規定處理： </w:t>
            </w:r>
          </w:p>
          <w:p w:rsidR="00225B9D"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 xml:space="preserve">一、符合下列情形者，准予畢業，並發給畢業證書： </w:t>
            </w:r>
          </w:p>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（一）依教育部所定課程規定修業期滿，</w:t>
            </w:r>
            <w:r w:rsidR="00B33161" w:rsidRPr="00BF4B40">
              <w:rPr>
                <w:rFonts w:ascii="標楷體" w:eastAsia="標楷體" w:hAnsi="標楷體" w:hint="eastAsia"/>
                <w:color w:val="000000" w:themeColor="text1"/>
                <w:szCs w:val="24"/>
              </w:rPr>
              <w:t>符合課程綱要所定畢業條件。</w:t>
            </w:r>
            <w:r w:rsidRPr="00BF4B40">
              <w:rPr>
                <w:rFonts w:ascii="標楷體" w:eastAsia="標楷體" w:hAnsi="標楷體" w:hint="eastAsia"/>
                <w:color w:val="000000" w:themeColor="text1"/>
                <w:szCs w:val="24"/>
              </w:rPr>
              <w:t xml:space="preserve"> </w:t>
            </w:r>
          </w:p>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 xml:space="preserve">（二）修業期間德行評量之獎懲紀錄相抵後未滿三大過者。 </w:t>
            </w:r>
          </w:p>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二、依教育部所定課程規定修業期滿，已修一百二十個畢業應修學分數，而未符合前款規定者，發給修業證明書。</w:t>
            </w:r>
          </w:p>
        </w:tc>
      </w:tr>
      <w:tr w:rsidR="00BF4B40" w:rsidRPr="00BF4B40" w:rsidTr="00FE2A17">
        <w:trPr>
          <w:trHeight w:val="204"/>
        </w:trPr>
        <w:tc>
          <w:tcPr>
            <w:tcW w:w="1134" w:type="dxa"/>
          </w:tcPr>
          <w:p w:rsidR="00E13DC4" w:rsidRPr="00BF4B40" w:rsidRDefault="00E13DC4" w:rsidP="0073419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第26條</w:t>
            </w:r>
          </w:p>
        </w:tc>
        <w:tc>
          <w:tcPr>
            <w:tcW w:w="12475"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學生學習評量之結果，應妥為保存及管理，並維護個人隱私及權益；其評量資料之蒐集、處理及利用，應依個人資料保護法及其相關法規之規定辦理。</w:t>
            </w:r>
          </w:p>
        </w:tc>
      </w:tr>
      <w:tr w:rsidR="00BF4B40" w:rsidRPr="00BF4B40" w:rsidTr="00FE2A17">
        <w:trPr>
          <w:trHeight w:val="156"/>
        </w:trPr>
        <w:tc>
          <w:tcPr>
            <w:tcW w:w="1134" w:type="dxa"/>
          </w:tcPr>
          <w:p w:rsidR="00E13DC4" w:rsidRPr="00BF4B40" w:rsidRDefault="00E13DC4" w:rsidP="0073419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第27條</w:t>
            </w:r>
          </w:p>
        </w:tc>
        <w:tc>
          <w:tcPr>
            <w:tcW w:w="12475" w:type="dxa"/>
          </w:tcPr>
          <w:p w:rsidR="00E13DC4" w:rsidRPr="00BF4B40" w:rsidRDefault="00E13DC4" w:rsidP="00A376D3">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本補充規定經校務會議通過後施行，並報送主管機關備查，修正時亦同。</w:t>
            </w:r>
          </w:p>
        </w:tc>
      </w:tr>
      <w:tr w:rsidR="00BF4B40" w:rsidRPr="00BF4B40" w:rsidTr="00FE2A17">
        <w:trPr>
          <w:trHeight w:val="156"/>
        </w:trPr>
        <w:tc>
          <w:tcPr>
            <w:tcW w:w="1134" w:type="dxa"/>
          </w:tcPr>
          <w:p w:rsidR="00E13DC4" w:rsidRPr="00BF4B40" w:rsidRDefault="00E13DC4" w:rsidP="0073419C">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第28條</w:t>
            </w:r>
          </w:p>
        </w:tc>
        <w:tc>
          <w:tcPr>
            <w:tcW w:w="12475" w:type="dxa"/>
          </w:tcPr>
          <w:p w:rsidR="00E13DC4" w:rsidRPr="00BF4B40" w:rsidRDefault="00ED0B0A" w:rsidP="00ED0B0A">
            <w:pPr>
              <w:rPr>
                <w:rFonts w:ascii="標楷體" w:eastAsia="標楷體" w:hAnsi="標楷體"/>
                <w:color w:val="000000" w:themeColor="text1"/>
                <w:szCs w:val="24"/>
              </w:rPr>
            </w:pPr>
            <w:r w:rsidRPr="00BF4B40">
              <w:rPr>
                <w:rFonts w:ascii="標楷體" w:eastAsia="標楷體" w:hAnsi="標楷體" w:hint="eastAsia"/>
                <w:color w:val="000000" w:themeColor="text1"/>
                <w:szCs w:val="24"/>
              </w:rPr>
              <w:t>本補充規定自中華民國一百</w:t>
            </w:r>
            <w:r w:rsidR="00B33161" w:rsidRPr="00BF4B40">
              <w:rPr>
                <w:rFonts w:ascii="標楷體" w:eastAsia="標楷體" w:hAnsi="標楷體" w:hint="eastAsia"/>
                <w:color w:val="000000" w:themeColor="text1"/>
                <w:szCs w:val="24"/>
              </w:rPr>
              <w:t>一十三年</w:t>
            </w:r>
            <w:r w:rsidR="004437C9" w:rsidRPr="00BF4B40">
              <w:rPr>
                <w:rFonts w:ascii="標楷體" w:eastAsia="標楷體" w:hAnsi="標楷體" w:hint="eastAsia"/>
                <w:color w:val="000000" w:themeColor="text1"/>
                <w:szCs w:val="24"/>
              </w:rPr>
              <w:t>八</w:t>
            </w:r>
            <w:r w:rsidR="00B33161" w:rsidRPr="00BF4B40">
              <w:rPr>
                <w:rFonts w:ascii="標楷體" w:eastAsia="標楷體" w:hAnsi="標楷體" w:hint="eastAsia"/>
                <w:color w:val="000000" w:themeColor="text1"/>
                <w:szCs w:val="24"/>
              </w:rPr>
              <w:t>月</w:t>
            </w:r>
            <w:r w:rsidR="004437C9" w:rsidRPr="00BF4B40">
              <w:rPr>
                <w:rFonts w:ascii="標楷體" w:eastAsia="標楷體" w:hAnsi="標楷體" w:hint="eastAsia"/>
                <w:color w:val="000000" w:themeColor="text1"/>
                <w:szCs w:val="24"/>
              </w:rPr>
              <w:t>二</w:t>
            </w:r>
            <w:r w:rsidR="00B33161" w:rsidRPr="00BF4B40">
              <w:rPr>
                <w:rFonts w:ascii="標楷體" w:eastAsia="標楷體" w:hAnsi="標楷體" w:hint="eastAsia"/>
                <w:color w:val="000000" w:themeColor="text1"/>
                <w:szCs w:val="24"/>
              </w:rPr>
              <w:t>十九</w:t>
            </w:r>
            <w:r w:rsidRPr="00BF4B40">
              <w:rPr>
                <w:rFonts w:ascii="標楷體" w:eastAsia="標楷體" w:hAnsi="標楷體" w:hint="eastAsia"/>
                <w:color w:val="000000" w:themeColor="text1"/>
                <w:szCs w:val="24"/>
              </w:rPr>
              <w:t>日</w:t>
            </w:r>
            <w:r w:rsidR="00EB100C" w:rsidRPr="00BF4B40">
              <w:rPr>
                <w:rFonts w:ascii="標楷體" w:eastAsia="標楷體" w:hAnsi="標楷體" w:hint="eastAsia"/>
                <w:color w:val="000000" w:themeColor="text1"/>
                <w:szCs w:val="24"/>
              </w:rPr>
              <w:t>校務會議通過後</w:t>
            </w:r>
            <w:r w:rsidRPr="00BF4B40">
              <w:rPr>
                <w:rFonts w:ascii="標楷體" w:eastAsia="標楷體" w:hAnsi="標楷體" w:hint="eastAsia"/>
                <w:color w:val="000000" w:themeColor="text1"/>
                <w:szCs w:val="24"/>
              </w:rPr>
              <w:t>施行。</w:t>
            </w:r>
          </w:p>
        </w:tc>
      </w:tr>
    </w:tbl>
    <w:p w:rsidR="009E0A91" w:rsidRPr="00BF4B40" w:rsidRDefault="009E0A91" w:rsidP="00985F5F">
      <w:pPr>
        <w:rPr>
          <w:color w:val="000000" w:themeColor="text1"/>
        </w:rPr>
      </w:pPr>
    </w:p>
    <w:sectPr w:rsidR="009E0A91" w:rsidRPr="00BF4B40" w:rsidSect="00ED0B0A">
      <w:pgSz w:w="14572" w:h="20639" w:code="12"/>
      <w:pgMar w:top="425" w:right="284"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AA" w:rsidRDefault="002613AA" w:rsidP="002613AA">
      <w:r>
        <w:separator/>
      </w:r>
    </w:p>
  </w:endnote>
  <w:endnote w:type="continuationSeparator" w:id="0">
    <w:p w:rsidR="002613AA" w:rsidRDefault="002613AA" w:rsidP="0026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AA" w:rsidRDefault="002613AA" w:rsidP="002613AA">
      <w:r>
        <w:separator/>
      </w:r>
    </w:p>
  </w:footnote>
  <w:footnote w:type="continuationSeparator" w:id="0">
    <w:p w:rsidR="002613AA" w:rsidRDefault="002613AA" w:rsidP="0026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5F"/>
    <w:rsid w:val="000045DC"/>
    <w:rsid w:val="000763B2"/>
    <w:rsid w:val="000D457F"/>
    <w:rsid w:val="000F604B"/>
    <w:rsid w:val="00156479"/>
    <w:rsid w:val="00225B9D"/>
    <w:rsid w:val="002613AA"/>
    <w:rsid w:val="00281328"/>
    <w:rsid w:val="002C0E05"/>
    <w:rsid w:val="00312905"/>
    <w:rsid w:val="00370846"/>
    <w:rsid w:val="003D4586"/>
    <w:rsid w:val="003E5737"/>
    <w:rsid w:val="003F3544"/>
    <w:rsid w:val="00412B0C"/>
    <w:rsid w:val="004437C9"/>
    <w:rsid w:val="0049630F"/>
    <w:rsid w:val="004B1829"/>
    <w:rsid w:val="004C01A5"/>
    <w:rsid w:val="004C3067"/>
    <w:rsid w:val="00515824"/>
    <w:rsid w:val="00542269"/>
    <w:rsid w:val="005474E4"/>
    <w:rsid w:val="005944F6"/>
    <w:rsid w:val="005D22B5"/>
    <w:rsid w:val="005D5DB6"/>
    <w:rsid w:val="00604841"/>
    <w:rsid w:val="00650889"/>
    <w:rsid w:val="00677048"/>
    <w:rsid w:val="00700DBA"/>
    <w:rsid w:val="00713D74"/>
    <w:rsid w:val="0073419C"/>
    <w:rsid w:val="0078070B"/>
    <w:rsid w:val="007C1590"/>
    <w:rsid w:val="007D19D8"/>
    <w:rsid w:val="008156EF"/>
    <w:rsid w:val="008A1207"/>
    <w:rsid w:val="008D218B"/>
    <w:rsid w:val="00945BF1"/>
    <w:rsid w:val="0097306E"/>
    <w:rsid w:val="00985F5F"/>
    <w:rsid w:val="009E0A91"/>
    <w:rsid w:val="009F34C5"/>
    <w:rsid w:val="009F61A5"/>
    <w:rsid w:val="00A376D3"/>
    <w:rsid w:val="00B23F12"/>
    <w:rsid w:val="00B3191E"/>
    <w:rsid w:val="00B33161"/>
    <w:rsid w:val="00B4009B"/>
    <w:rsid w:val="00B8330C"/>
    <w:rsid w:val="00BF066F"/>
    <w:rsid w:val="00BF4B40"/>
    <w:rsid w:val="00C111B9"/>
    <w:rsid w:val="00C62946"/>
    <w:rsid w:val="00C741CA"/>
    <w:rsid w:val="00CF68ED"/>
    <w:rsid w:val="00D31C0A"/>
    <w:rsid w:val="00DB2063"/>
    <w:rsid w:val="00DD6689"/>
    <w:rsid w:val="00E13DC4"/>
    <w:rsid w:val="00E25D31"/>
    <w:rsid w:val="00E54D13"/>
    <w:rsid w:val="00E96DA3"/>
    <w:rsid w:val="00EB100C"/>
    <w:rsid w:val="00EB2EA0"/>
    <w:rsid w:val="00EC1AAF"/>
    <w:rsid w:val="00ED0B0A"/>
    <w:rsid w:val="00ED5584"/>
    <w:rsid w:val="00F769F3"/>
    <w:rsid w:val="00FC6C04"/>
    <w:rsid w:val="00FE2A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22E62C7-76E2-4316-8114-D748DD62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3AA"/>
    <w:pPr>
      <w:tabs>
        <w:tab w:val="center" w:pos="4153"/>
        <w:tab w:val="right" w:pos="8306"/>
      </w:tabs>
      <w:snapToGrid w:val="0"/>
    </w:pPr>
    <w:rPr>
      <w:sz w:val="20"/>
      <w:szCs w:val="20"/>
    </w:rPr>
  </w:style>
  <w:style w:type="character" w:customStyle="1" w:styleId="a5">
    <w:name w:val="頁首 字元"/>
    <w:basedOn w:val="a0"/>
    <w:link w:val="a4"/>
    <w:uiPriority w:val="99"/>
    <w:rsid w:val="002613AA"/>
    <w:rPr>
      <w:sz w:val="20"/>
      <w:szCs w:val="20"/>
    </w:rPr>
  </w:style>
  <w:style w:type="paragraph" w:styleId="a6">
    <w:name w:val="footer"/>
    <w:basedOn w:val="a"/>
    <w:link w:val="a7"/>
    <w:uiPriority w:val="99"/>
    <w:unhideWhenUsed/>
    <w:rsid w:val="002613AA"/>
    <w:pPr>
      <w:tabs>
        <w:tab w:val="center" w:pos="4153"/>
        <w:tab w:val="right" w:pos="8306"/>
      </w:tabs>
      <w:snapToGrid w:val="0"/>
    </w:pPr>
    <w:rPr>
      <w:sz w:val="20"/>
      <w:szCs w:val="20"/>
    </w:rPr>
  </w:style>
  <w:style w:type="character" w:customStyle="1" w:styleId="a7">
    <w:name w:val="頁尾 字元"/>
    <w:basedOn w:val="a0"/>
    <w:link w:val="a6"/>
    <w:uiPriority w:val="99"/>
    <w:rsid w:val="002613AA"/>
    <w:rPr>
      <w:sz w:val="20"/>
      <w:szCs w:val="20"/>
    </w:rPr>
  </w:style>
  <w:style w:type="character" w:styleId="a8">
    <w:name w:val="Hyperlink"/>
    <w:basedOn w:val="a0"/>
    <w:uiPriority w:val="99"/>
    <w:unhideWhenUsed/>
    <w:rsid w:val="00CF68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tps://law.moj.gov.tw/LawClass/LawSingle.aspx?Pcode=H0060007&amp;FLNO=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690</Words>
  <Characters>3937</Characters>
  <Application>Microsoft Office Word</Application>
  <DocSecurity>0</DocSecurity>
  <Lines>32</Lines>
  <Paragraphs>9</Paragraphs>
  <ScaleCrop>false</ScaleCrop>
  <Company>Microsoft</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2024-08-06T04:42:00Z</dcterms:created>
  <dcterms:modified xsi:type="dcterms:W3CDTF">2024-08-29T07:54:00Z</dcterms:modified>
</cp:coreProperties>
</file>