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D055B">
      <w:pPr>
        <w:pStyle w:val="18"/>
        <w:spacing w:before="180" w:beforeLines="50" w:after="180" w:afterLines="50" w:line="400" w:lineRule="exact"/>
        <w:jc w:val="center"/>
        <w:rPr>
          <w:rFonts w:ascii="標楷體" w:hAnsi="標楷體" w:eastAsia="標楷體"/>
        </w:rPr>
      </w:pPr>
      <w:r>
        <w:rPr>
          <w:rFonts w:hint="eastAsia" w:ascii="標楷體" w:hAnsi="標楷體" w:eastAsia="標楷體"/>
        </w:rPr>
        <w:t>仰德</w:t>
      </w:r>
      <w:r>
        <w:rPr>
          <w:rFonts w:ascii="標楷體" w:hAnsi="標楷體" w:eastAsia="標楷體"/>
        </w:rPr>
        <w:t>高中</w:t>
      </w:r>
      <w:r>
        <w:rPr>
          <w:rFonts w:hint="eastAsia" w:ascii="標楷體" w:hAnsi="標楷體" w:eastAsia="標楷體"/>
        </w:rPr>
        <w:t>113</w:t>
      </w:r>
      <w:r>
        <w:rPr>
          <w:rFonts w:ascii="標楷體" w:hAnsi="標楷體" w:eastAsia="標楷體"/>
        </w:rPr>
        <w:t>年度第</w:t>
      </w:r>
      <w:r>
        <w:rPr>
          <w:rFonts w:hint="eastAsia" w:ascii="標楷體" w:hAnsi="標楷體" w:eastAsia="標楷體"/>
        </w:rPr>
        <w:t>二</w:t>
      </w:r>
      <w:r>
        <w:rPr>
          <w:rFonts w:ascii="標楷體" w:hAnsi="標楷體" w:eastAsia="標楷體"/>
        </w:rPr>
        <w:t>學期</w:t>
      </w:r>
      <w:r>
        <w:rPr>
          <w:rFonts w:hint="eastAsia" w:ascii="標楷體" w:hAnsi="標楷體" w:eastAsia="標楷體"/>
        </w:rPr>
        <w:t xml:space="preserve"> </w:t>
      </w:r>
      <w:r>
        <w:rPr>
          <w:rFonts w:hint="eastAsia" w:ascii="標楷體" w:hAnsi="標楷體" w:eastAsia="標楷體"/>
          <w:lang w:eastAsia="zh-TW"/>
        </w:rPr>
        <w:t>二</w:t>
      </w:r>
      <w:r>
        <w:rPr>
          <w:rFonts w:hint="eastAsia" w:ascii="標楷體" w:hAnsi="標楷體" w:eastAsia="標楷體"/>
        </w:rPr>
        <w:t xml:space="preserve"> </w:t>
      </w:r>
      <w:r>
        <w:rPr>
          <w:rFonts w:ascii="標楷體" w:hAnsi="標楷體" w:eastAsia="標楷體"/>
        </w:rPr>
        <w:t>年級</w:t>
      </w:r>
      <w:r>
        <w:rPr>
          <w:rFonts w:hint="eastAsia" w:ascii="標楷體" w:hAnsi="標楷體" w:eastAsia="標楷體"/>
        </w:rPr>
        <w:t xml:space="preserve"> </w:t>
      </w:r>
      <w:r>
        <w:rPr>
          <w:rFonts w:hint="eastAsia" w:ascii="標楷體" w:hAnsi="標楷體" w:eastAsia="標楷體"/>
          <w:lang w:eastAsia="zh-TW"/>
        </w:rPr>
        <w:t>餐飲</w:t>
      </w:r>
      <w:bookmarkStart w:id="0" w:name="_GoBack"/>
      <w:bookmarkEnd w:id="0"/>
      <w:r>
        <w:rPr>
          <w:rFonts w:hint="eastAsia" w:ascii="標楷體" w:hAnsi="標楷體" w:eastAsia="標楷體"/>
        </w:rPr>
        <w:t xml:space="preserve">  </w:t>
      </w:r>
      <w:r>
        <w:rPr>
          <w:rFonts w:ascii="標楷體" w:hAnsi="標楷體" w:eastAsia="標楷體"/>
        </w:rPr>
        <w:t>科教學計畫</w:t>
      </w:r>
    </w:p>
    <w:tbl>
      <w:tblPr>
        <w:tblStyle w:val="3"/>
        <w:tblW w:w="10409" w:type="dxa"/>
        <w:jc w:val="center"/>
        <w:tblBorders>
          <w:top w:val="triple" w:color="auto" w:sz="4" w:space="0"/>
          <w:left w:val="triple" w:color="auto" w:sz="4" w:space="0"/>
          <w:bottom w:val="triple" w:color="auto" w:sz="4" w:space="0"/>
          <w:right w:val="trip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14:paraId="5709D06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2058DBE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  <w:vAlign w:val="top"/>
          </w:tcPr>
          <w:p w14:paraId="2EE8E740">
            <w:pPr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</w:rPr>
              <w:t>了解中餐烹調的基本概念 2.使學生能基本烹調相關專業知識</w:t>
            </w:r>
          </w:p>
        </w:tc>
      </w:tr>
      <w:tr w14:paraId="577051F5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0C09328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  <w:vAlign w:val="top"/>
          </w:tcPr>
          <w:p w14:paraId="49499C15">
            <w:pPr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</w:rPr>
              <w:t>紙筆測驗、操作考試</w:t>
            </w:r>
          </w:p>
        </w:tc>
      </w:tr>
      <w:tr w14:paraId="1B44857C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1425B65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  <w:vAlign w:val="top"/>
          </w:tcPr>
          <w:p w14:paraId="7B0BAD13">
            <w:pPr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</w:rPr>
              <w:t>期中考30%  期末考30%   平時成績40%</w:t>
            </w:r>
          </w:p>
        </w:tc>
      </w:tr>
      <w:tr w14:paraId="7CEE9565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C61016F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  <w:vAlign w:val="top"/>
          </w:tcPr>
          <w:p w14:paraId="28A755E4">
            <w:pPr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</w:rPr>
              <w:t>1.了解中餐烹調的相關知識2.使學生對於餐飲業的烹調技術有所概念並且加以應用</w:t>
            </w:r>
          </w:p>
        </w:tc>
      </w:tr>
      <w:tr w14:paraId="631FCC3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25D1761A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五、教學進度</w:t>
            </w:r>
          </w:p>
        </w:tc>
      </w:tr>
      <w:tr w14:paraId="3D4DCBDC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28E1680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每週</w:t>
            </w:r>
          </w:p>
          <w:p w14:paraId="7E25449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4C4CEC4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¼Ð·¢Åé"/>
                <w:kern w:val="0"/>
                <w:lang w:val="en-US" w:eastAsia="zh-TW"/>
              </w:rPr>
              <w:t>3</w:t>
            </w:r>
            <w:r>
              <w:rPr>
                <w:rFonts w:ascii="標楷體" w:hAnsi="標楷體" w:eastAsia="標楷體" w:cs="¼Ð·¢Åé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44A8536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編定</w:t>
            </w:r>
          </w:p>
          <w:p w14:paraId="204F868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5E0608EB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溫樺鈴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60B2D20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580DDE6A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sz w:val="24"/>
                <w:szCs w:val="24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中餐烹調實習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4E9F9D1D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624B224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餐技二</w:t>
            </w:r>
          </w:p>
        </w:tc>
      </w:tr>
      <w:tr w14:paraId="723B60D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continue"/>
            <w:shd w:val="clear" w:color="auto" w:fill="auto"/>
            <w:vAlign w:val="center"/>
          </w:tcPr>
          <w:p w14:paraId="06BA725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959" w:type="dxa"/>
            <w:vMerge w:val="continue"/>
            <w:shd w:val="clear" w:color="auto" w:fill="auto"/>
            <w:vAlign w:val="center"/>
          </w:tcPr>
          <w:p w14:paraId="3C37F874">
            <w:pPr>
              <w:spacing w:line="400" w:lineRule="exact"/>
              <w:jc w:val="center"/>
              <w:rPr>
                <w:rFonts w:ascii="標楷體" w:hAnsi="標楷體" w:eastAsia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 w:val="continue"/>
            <w:shd w:val="clear" w:color="auto" w:fill="auto"/>
            <w:vAlign w:val="center"/>
          </w:tcPr>
          <w:p w14:paraId="5F6F3F3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583E531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41C17F0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2261835C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sz w:val="24"/>
                <w:szCs w:val="24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廣懋出版社</w:t>
            </w:r>
          </w:p>
        </w:tc>
        <w:tc>
          <w:tcPr>
            <w:tcW w:w="700" w:type="dxa"/>
            <w:vMerge w:val="continue"/>
            <w:shd w:val="clear" w:color="auto" w:fill="auto"/>
            <w:vAlign w:val="center"/>
          </w:tcPr>
          <w:p w14:paraId="6FBB4A38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860" w:type="dxa"/>
            <w:vMerge w:val="continue"/>
            <w:shd w:val="clear" w:color="auto" w:fill="auto"/>
            <w:vAlign w:val="center"/>
          </w:tcPr>
          <w:p w14:paraId="3E5EC8F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</w:tr>
      <w:tr w14:paraId="65CDF2D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44EBB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D6D55F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2A3075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學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內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E40655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9C3E34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備   註</w:t>
            </w:r>
          </w:p>
        </w:tc>
      </w:tr>
      <w:tr w14:paraId="324FC97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8989B7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EE1875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02/11~02/14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64F1076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實習分組、實習教室打掃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DA0E4CC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9D96FB7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02/11 開學</w:t>
            </w:r>
          </w:p>
        </w:tc>
      </w:tr>
      <w:tr w14:paraId="46F25C7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901B0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390EABA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02/17~02/21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5D062DA">
            <w:pPr>
              <w:spacing w:line="360" w:lineRule="exact"/>
              <w:rPr>
                <w:rFonts w:hint="eastAsia" w:ascii="標楷體" w:hAnsi="標楷體" w:eastAsia="標楷體"/>
                <w:kern w:val="0"/>
              </w:rPr>
            </w:pPr>
            <w:r>
              <w:rPr>
                <w:rFonts w:hint="eastAsia" w:ascii="標楷體" w:hAnsi="標楷體" w:eastAsia="標楷體"/>
              </w:rPr>
              <w:t>1.</w:t>
            </w:r>
            <w:r>
              <w:rPr>
                <w:rFonts w:hint="eastAsia" w:ascii="標楷體" w:hAnsi="標楷體" w:eastAsia="標楷體" w:cs="標楷體"/>
                <w:kern w:val="0"/>
              </w:rPr>
              <w:t xml:space="preserve"> 川肉丸子湯</w:t>
            </w:r>
          </w:p>
          <w:p w14:paraId="5ED2416C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</w:rPr>
              <w:t>2.</w:t>
            </w:r>
            <w:r>
              <w:rPr>
                <w:rFonts w:hint="eastAsia" w:ascii="標楷體" w:hAnsi="標楷體" w:eastAsia="標楷體" w:cs="標楷體"/>
                <w:kern w:val="0"/>
              </w:rPr>
              <w:t xml:space="preserve"> 油雞腿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395E188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701D00B">
            <w:pPr>
              <w:spacing w:line="24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eastAsia="zh-TW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eastAsia="zh-TW"/>
              </w:rPr>
              <w:t>重大議題:人權</w:t>
            </w:r>
          </w:p>
        </w:tc>
      </w:tr>
      <w:tr w14:paraId="7E238B3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F2E8B5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5F0DE4D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02/24~02/28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F5E61D9">
            <w:pPr>
              <w:spacing w:line="360" w:lineRule="exact"/>
              <w:rPr>
                <w:rFonts w:hint="eastAsia"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1.炸牡蠣春捲</w:t>
            </w:r>
          </w:p>
          <w:p w14:paraId="3AC1A1A5">
            <w:pPr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</w:rPr>
              <w:t>2.小黃瓜系列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552BD31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621238C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籃球週、02/28 放假</w:t>
            </w:r>
          </w:p>
        </w:tc>
      </w:tr>
      <w:tr w14:paraId="4147164B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35E0DD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FE4D7E8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03/03-03/07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138BC43">
            <w:pPr>
              <w:spacing w:line="360" w:lineRule="exact"/>
              <w:rPr>
                <w:rFonts w:hint="eastAsia" w:ascii="標楷體" w:hAnsi="標楷體" w:eastAsia="標楷體"/>
                <w:kern w:val="0"/>
              </w:rPr>
            </w:pPr>
            <w:r>
              <w:rPr>
                <w:rFonts w:hint="eastAsia" w:ascii="標楷體" w:hAnsi="標楷體" w:eastAsia="標楷體"/>
                <w:kern w:val="0"/>
              </w:rPr>
              <w:t>1.白果燴芥菜、</w:t>
            </w:r>
          </w:p>
          <w:p w14:paraId="3FA1A40E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</w:rPr>
              <w:t>2.金銀蛋扒芥菜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90086FD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E9F8E22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國文月</w:t>
            </w:r>
          </w:p>
        </w:tc>
      </w:tr>
      <w:tr w14:paraId="4B8B984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60B4EB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D5AC7B8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03/10-03/14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49B4C4D">
            <w:pPr>
              <w:spacing w:line="360" w:lineRule="exact"/>
              <w:rPr>
                <w:rFonts w:hint="eastAsia" w:ascii="標楷體" w:hAnsi="標楷體" w:eastAsia="標楷體"/>
                <w:kern w:val="0"/>
              </w:rPr>
            </w:pPr>
            <w:r>
              <w:rPr>
                <w:rFonts w:hint="eastAsia" w:ascii="標楷體" w:hAnsi="標楷體" w:eastAsia="標楷體"/>
                <w:kern w:val="0"/>
              </w:rPr>
              <w:t>1.炒牛肉鬆</w:t>
            </w:r>
          </w:p>
          <w:p w14:paraId="7636A7C4">
            <w:pPr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</w:rPr>
              <w:t>2.三菇燴介菜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C05A4F0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5510F93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03/13-14 高三模擬考</w:t>
            </w:r>
          </w:p>
        </w:tc>
      </w:tr>
      <w:tr w14:paraId="2D117EF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4576D1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DF60CF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03/17-03/21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F21B146">
            <w:pPr>
              <w:spacing w:line="360" w:lineRule="exact"/>
              <w:rPr>
                <w:rFonts w:hint="eastAsia" w:ascii="標楷體" w:hAnsi="標楷體" w:eastAsia="標楷體"/>
                <w:kern w:val="0"/>
              </w:rPr>
            </w:pPr>
            <w:r>
              <w:rPr>
                <w:rFonts w:hint="eastAsia" w:ascii="標楷體" w:hAnsi="標楷體" w:eastAsia="標楷體"/>
                <w:kern w:val="0"/>
              </w:rPr>
              <w:t>1.松鼠黃魚</w:t>
            </w:r>
          </w:p>
          <w:p w14:paraId="1642A90B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</w:rPr>
              <w:t>2.白果燴芥菜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73A189C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36D7680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03/21 卡拉OK決賽&amp;社團成果發表</w:t>
            </w:r>
          </w:p>
        </w:tc>
      </w:tr>
      <w:tr w14:paraId="781AB45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A64693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13584AB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03/24-03/28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28CA0A1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A9C243F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83A9D51">
            <w:pPr>
              <w:spacing w:line="24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03/26-28 期中考</w:t>
            </w:r>
          </w:p>
        </w:tc>
      </w:tr>
      <w:tr w14:paraId="1A1135EB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6BA2C3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C91EABB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03/31-04/04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2C35D6C">
            <w:pPr>
              <w:spacing w:line="360" w:lineRule="exact"/>
              <w:rPr>
                <w:rFonts w:hint="eastAsia" w:ascii="標楷體" w:hAnsi="標楷體" w:eastAsia="標楷體"/>
                <w:kern w:val="0"/>
              </w:rPr>
            </w:pPr>
            <w:r>
              <w:rPr>
                <w:rFonts w:hint="eastAsia" w:ascii="標楷體" w:hAnsi="標楷體" w:eastAsia="標楷體"/>
                <w:kern w:val="0"/>
              </w:rPr>
              <w:t>1.酥炸黃魚條</w:t>
            </w:r>
          </w:p>
          <w:p w14:paraId="675BA0B6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</w:rPr>
              <w:t>2.彩椒滑牛肉片</w:t>
            </w: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92663B5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D11F160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04/03-04 清明、兒童節放假</w:t>
            </w:r>
          </w:p>
        </w:tc>
      </w:tr>
      <w:tr w14:paraId="5AFA581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4F4462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7C35333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04/07-04/11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68579B2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/>
                <w:kern w:val="0"/>
              </w:rPr>
            </w:pPr>
            <w:r>
              <w:rPr>
                <w:rFonts w:hint="eastAsia" w:ascii="標楷體" w:hAnsi="標楷體" w:eastAsia="標楷體"/>
                <w:kern w:val="0"/>
              </w:rPr>
              <w:t>1.椒鹽魷魚</w:t>
            </w:r>
          </w:p>
          <w:p w14:paraId="3CD140E0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</w:rPr>
              <w:t>2.竹笙燴芥菜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4341843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B60DE6A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04/12 親職日</w:t>
            </w:r>
          </w:p>
        </w:tc>
      </w:tr>
      <w:tr w14:paraId="6D7F698C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E5AF94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DC15742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04/14-04/18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383DE2C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1.蔥油雞</w:t>
            </w:r>
          </w:p>
          <w:p w14:paraId="536A10E4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2.什錦白菜捲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B3516A2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42CA5CC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04/14 親職日補假乙天</w:t>
            </w:r>
          </w:p>
          <w:p w14:paraId="5042B5EB">
            <w:pPr>
              <w:spacing w:line="240" w:lineRule="exact"/>
              <w:rPr>
                <w:rFonts w:hint="eastAsia"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04/16-18 高三期末考</w:t>
            </w:r>
          </w:p>
        </w:tc>
      </w:tr>
      <w:tr w14:paraId="41CCACE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D782AA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87272D3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04/21-04/25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9F3A4F7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1.宮保墨魚捲</w:t>
            </w:r>
          </w:p>
          <w:p w14:paraId="64653E20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2.家常墨魚捲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8239A3A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730C940">
            <w:pPr>
              <w:autoSpaceDE w:val="0"/>
              <w:autoSpaceDN w:val="0"/>
              <w:adjustRightInd w:val="0"/>
              <w:spacing w:line="22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04/25 高三祈福儀式&amp;送舊活動</w:t>
            </w:r>
          </w:p>
        </w:tc>
      </w:tr>
      <w:tr w14:paraId="7779D9F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2EDF61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E4B7BCE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04/28-05/02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3F5BE6A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1.玉樹上湯雞</w:t>
            </w:r>
          </w:p>
          <w:p w14:paraId="691B0001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2.佛手白菜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9473E4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E67E125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04/28-05/09 高一二作業抽查</w:t>
            </w:r>
          </w:p>
        </w:tc>
      </w:tr>
      <w:tr w14:paraId="72C7119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0BB34C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2925773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7915BB6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1.京都排骨</w:t>
            </w:r>
          </w:p>
          <w:p w14:paraId="102065C6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2.鮮肉水餃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E8C7FB2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9A41F4E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6C7434A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7FD08F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33A9E3B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05/12-05/16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FF7521F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1.粉蒸小排骨</w:t>
            </w:r>
          </w:p>
          <w:p w14:paraId="294A9291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2.千層白菜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8665473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BE65B00">
            <w:pPr>
              <w:spacing w:line="240" w:lineRule="exact"/>
              <w:rPr>
                <w:rFonts w:hint="eastAsia" w:ascii="標楷體" w:hAnsi="標楷體" w:eastAsia="標楷體"/>
                <w:sz w:val="18"/>
                <w:szCs w:val="18"/>
                <w:lang w:eastAsia="zh-TW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  <w:lang w:eastAsia="zh-TW"/>
              </w:rPr>
              <w:t>重大議題:多元文化</w:t>
            </w:r>
          </w:p>
        </w:tc>
      </w:tr>
      <w:tr w14:paraId="39D76EA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EA21A9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43243F5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05/19-05/23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67A60E3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1.</w:t>
            </w:r>
            <w:r>
              <w:rPr>
                <w:rFonts w:hint="eastAsia" w:ascii="標楷體" w:hAnsi="標楷體" w:eastAsia="標楷體"/>
                <w:kern w:val="0"/>
              </w:rPr>
              <w:t>黑胡椒炒豬柳</w:t>
            </w:r>
          </w:p>
          <w:p w14:paraId="6CDB3545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2.豐原排骨酥湯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0857293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F817C3A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2070CDB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B6E064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498B42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05/26-05/30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59D05520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1.燻雞</w:t>
            </w:r>
          </w:p>
          <w:p w14:paraId="6BC68CB3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2.千層白菜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628C93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F34D896">
            <w:pPr>
              <w:tabs>
                <w:tab w:val="left" w:pos="2333"/>
              </w:tabs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05/30 端午節補假</w:t>
            </w:r>
          </w:p>
        </w:tc>
      </w:tr>
      <w:tr w14:paraId="3F7DF85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EA274E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307A10E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06/02-06/06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86E4BD8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1.椒鹽蝦球</w:t>
            </w:r>
          </w:p>
          <w:p w14:paraId="00ACC0F6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2.家鄉屈雞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3B2D2B1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7435ED6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06/02 畢業典禮</w:t>
            </w:r>
          </w:p>
        </w:tc>
      </w:tr>
      <w:tr w14:paraId="3ABCA3A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77F721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5E561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06/09-06/13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2409D5A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1.三絲蝦球</w:t>
            </w:r>
          </w:p>
          <w:p w14:paraId="36A1C419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2.金鈎墨魚絲、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660694F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757195B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5CB0ED6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46304A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A138474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06/16-06/20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B83B953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1.蔥油灼墨魚片</w:t>
            </w:r>
          </w:p>
          <w:p w14:paraId="795C1073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4"/>
                <w:szCs w:val="24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2.蝦丸蔬片湯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7F4781F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6CF563B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06/17-19 高一二期末考</w:t>
            </w:r>
          </w:p>
        </w:tc>
      </w:tr>
      <w:tr w14:paraId="26A3721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84F23A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C1A7604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06/23-06/27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088260D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9802599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79B3A29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7622513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B9E2DE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411092">
            <w:pPr>
              <w:spacing w:line="360" w:lineRule="exact"/>
              <w:jc w:val="center"/>
              <w:rPr>
                <w:rFonts w:hint="eastAsia"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964C3B9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9A2F3F4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943AC12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06/30休業式</w:t>
            </w:r>
          </w:p>
        </w:tc>
      </w:tr>
    </w:tbl>
    <w:p w14:paraId="75A75391">
      <w:pPr>
        <w:spacing w:line="400" w:lineRule="exact"/>
        <w:rPr>
          <w:rFonts w:ascii="標楷體" w:hAnsi="標楷體" w:eastAsia="標楷體"/>
          <w:kern w:val="0"/>
          <w:sz w:val="22"/>
          <w:szCs w:val="22"/>
        </w:rPr>
      </w:pPr>
      <w:r>
        <w:rPr>
          <w:rFonts w:hint="eastAsia" w:ascii="標楷體" w:hAnsi="標楷體" w:eastAsia="標楷體"/>
          <w:kern w:val="0"/>
          <w:sz w:val="22"/>
          <w:szCs w:val="22"/>
        </w:rPr>
        <w:t>※備註欄可填寫有關重大議題融入</w:t>
      </w:r>
      <w:r>
        <w:rPr>
          <w:rFonts w:ascii="標楷體" w:hAnsi="標楷體" w:eastAsia="標楷體"/>
          <w:sz w:val="22"/>
          <w:szCs w:val="22"/>
        </w:rPr>
        <w:t>（所謂重大議題包含：</w:t>
      </w:r>
      <w:r>
        <w:rPr>
          <w:rFonts w:hint="eastAsia" w:ascii="標楷體" w:hAnsi="標楷體" w:eastAsia="標楷體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>
        <w:rPr>
          <w:rFonts w:ascii="標楷體" w:hAnsi="標楷體" w:eastAsia="標楷體"/>
          <w:sz w:val="22"/>
          <w:szCs w:val="22"/>
        </w:rPr>
        <w:t>）</w:t>
      </w:r>
      <w:r>
        <w:rPr>
          <w:rFonts w:hint="eastAsia" w:ascii="標楷體" w:hAnsi="標楷體" w:eastAsia="標楷體"/>
          <w:kern w:val="0"/>
          <w:sz w:val="22"/>
          <w:szCs w:val="22"/>
        </w:rPr>
        <w:t xml:space="preserve">及其他重要活動。 </w:t>
      </w:r>
    </w:p>
    <w:sectPr>
      <w:footerReference r:id="rId3" w:type="even"/>
      <w:pgSz w:w="11906" w:h="16838"/>
      <w:pgMar w:top="567" w:right="907" w:bottom="567" w:left="851" w:header="851" w:footer="992" w:gutter="0"/>
      <w:pgNumType w:start="291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¼Ð·¢Åé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53D27">
    <w:pPr>
      <w:pStyle w:val="9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292</w:t>
    </w:r>
    <w:r>
      <w:rPr>
        <w:rStyle w:val="12"/>
      </w:rPr>
      <w:fldChar w:fldCharType="end"/>
    </w:r>
  </w:p>
  <w:p w14:paraId="3EA8663B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80"/>
  <w:evenAndOddHeaders w:val="1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  <w:rsid w:val="43B1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新細明體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iPriority w:val="0"/>
    <w:rPr>
      <w:rFonts w:ascii="Arial" w:hAnsi="Arial"/>
      <w:sz w:val="18"/>
      <w:szCs w:val="18"/>
    </w:rPr>
  </w:style>
  <w:style w:type="paragraph" w:styleId="5">
    <w:name w:val="Closing"/>
    <w:basedOn w:val="1"/>
    <w:uiPriority w:val="0"/>
    <w:pPr>
      <w:ind w:left="100" w:leftChars="1800"/>
    </w:pPr>
    <w:rPr>
      <w:rFonts w:ascii="標楷體" w:eastAsia="標楷體" w:cs="標楷體"/>
      <w:kern w:val="0"/>
    </w:rPr>
  </w:style>
  <w:style w:type="character" w:styleId="6">
    <w:name w:val="annotation reference"/>
    <w:semiHidden/>
    <w:uiPriority w:val="0"/>
    <w:rPr>
      <w:sz w:val="18"/>
      <w:szCs w:val="18"/>
    </w:rPr>
  </w:style>
  <w:style w:type="paragraph" w:styleId="7">
    <w:name w:val="annotation text"/>
    <w:basedOn w:val="1"/>
    <w:semiHidden/>
    <w:uiPriority w:val="0"/>
  </w:style>
  <w:style w:type="paragraph" w:styleId="8">
    <w:name w:val="annotation subject"/>
    <w:basedOn w:val="7"/>
    <w:next w:val="7"/>
    <w:semiHidden/>
    <w:uiPriority w:val="0"/>
    <w:rPr>
      <w:b/>
      <w:bCs/>
    </w:rPr>
  </w:style>
  <w:style w:type="paragraph" w:styleId="9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0">
    <w:name w:val="header"/>
    <w:basedOn w:val="1"/>
    <w:link w:val="19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1">
    <w:name w:val="Note Heading"/>
    <w:basedOn w:val="1"/>
    <w:next w:val="1"/>
    <w:uiPriority w:val="0"/>
    <w:pPr>
      <w:jc w:val="center"/>
    </w:pPr>
    <w:rPr>
      <w:rFonts w:ascii="標楷體" w:eastAsia="標楷體" w:cs="標楷體"/>
      <w:kern w:val="0"/>
    </w:rPr>
  </w:style>
  <w:style w:type="character" w:styleId="12">
    <w:name w:val="page number"/>
    <w:basedOn w:val="2"/>
    <w:uiPriority w:val="0"/>
  </w:style>
  <w:style w:type="character" w:styleId="13">
    <w:name w:val="Strong"/>
    <w:qFormat/>
    <w:uiPriority w:val="0"/>
    <w:rPr>
      <w:b/>
      <w:bCs/>
    </w:rPr>
  </w:style>
  <w:style w:type="table" w:styleId="14">
    <w:name w:val="Table Grid"/>
    <w:basedOn w:val="3"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oc 1"/>
    <w:basedOn w:val="1"/>
    <w:next w:val="1"/>
    <w:autoRedefine/>
    <w:semiHidden/>
    <w:uiPriority w:val="0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6">
    <w:name w:val="樣式111"/>
    <w:basedOn w:val="1"/>
    <w:autoRedefine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7">
    <w:name w:val="樣式a"/>
    <w:basedOn w:val="1"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8">
    <w:name w:val="Default"/>
    <w:uiPriority w:val="0"/>
    <w:pPr>
      <w:widowControl w:val="0"/>
      <w:autoSpaceDE w:val="0"/>
      <w:autoSpaceDN w:val="0"/>
      <w:adjustRightInd w:val="0"/>
    </w:pPr>
    <w:rPr>
      <w:rFonts w:ascii="新細明體" w:hAnsi="Times New Roman" w:eastAsia="新細明體" w:cs="新細明體"/>
      <w:color w:val="000000"/>
      <w:sz w:val="24"/>
      <w:szCs w:val="24"/>
      <w:lang w:val="en-US" w:eastAsia="zh-TW" w:bidi="ar-SA"/>
    </w:rPr>
  </w:style>
  <w:style w:type="character" w:customStyle="1" w:styleId="19">
    <w:name w:val="頁首 字元"/>
    <w:link w:val="10"/>
    <w:uiPriority w:val="0"/>
    <w:rPr>
      <w:rFonts w:eastAsia="新細明體"/>
      <w:kern w:val="2"/>
      <w:lang w:val="en-US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Company>User</Company>
  <Pages>2</Pages>
  <Words>349</Words>
  <Characters>487</Characters>
  <Lines>4</Lines>
  <Paragraphs>1</Paragraphs>
  <TotalTime>2</TotalTime>
  <ScaleCrop>false</ScaleCrop>
  <LinksUpToDate>false</LinksUpToDate>
  <CharactersWithSpaces>835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2024-01-22T00:48:00Z</dcterms:created>
  <dc:creator>User</dc:creator>
  <cp:lastModifiedBy>a0935</cp:lastModifiedBy>
  <cp:lastPrinted>2009-02-11T08:45:00Z</cp:lastPrinted>
  <dcterms:modified xsi:type="dcterms:W3CDTF">2025-02-14T06:21:24Z</dcterms:modified>
  <dc:title>教學計畫有別於教學活動設計和教案，它是教學前的構思、設計和規劃，也是教學前用來和學群教師、家長、行政人員的溝通用的，同時也是課程管理的工具 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87075F46CEDE4B3FAFF438D151DF13BC_13</vt:lpwstr>
  </property>
</Properties>
</file>